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before="240" w:after="60"/>
      </w:pPr>
      <w:r>
        <w:rPr>
          <w:rFonts w:ascii="Helvetica" w:hAnsi="Helvetica" w:cs="Helvetica"/>
          <w:sz w:val="32"/>
          <w:sz-cs w:val="32"/>
          <w:b/>
        </w:rPr>
        <w:t xml:space="preserve">References &amp; Image Descriptions for Family and Disability Activism</w:t>
      </w:r>
      <w:r>
        <w:rPr>
          <w:rFonts w:ascii="Times New Roman" w:hAnsi="Times New Roman" w:cs="Times New Roman"/>
          <w:sz w:val="32"/>
          <w:sz-cs w:val="32"/>
          <w:b/>
        </w:rPr>
        <w:t xml:space="preserve"/>
      </w:r>
    </w:p>
    <w:p>
      <w:pPr>
        <w:jc w:val="center"/>
        <w:spacing w:after="60"/>
      </w:pPr>
      <w:r>
        <w:rPr>
          <w:rFonts w:ascii="Helvetica" w:hAnsi="Helvetica" w:cs="Helvetica"/>
          <w:sz w:val="24"/>
          <w:sz-cs w:val="24"/>
        </w:rPr>
        <w:t xml:space="preserve">Prepared by: Dina Dwairi</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pPr>
      <w:r>
        <w:rPr>
          <w:rFonts w:ascii="Helvetica" w:hAnsi="Helvetica" w:cs="Helvetica"/>
          <w:sz w:val="32"/>
          <w:sz-cs w:val="32"/>
          <w:color w:val="0F4761"/>
        </w:rPr>
        <w:t xml:space="preserve">Table of Contents</w:t>
      </w:r>
    </w:p>
    <w:p>
      <w:pPr>
        <w:spacing w:after="160"/>
      </w:pPr>
      <w:r>
        <w:rPr>
          <w:rFonts w:ascii="Helvetica" w:hAnsi="Helvetica" w:cs="Helvetica"/>
          <w:sz w:val="24"/>
          <w:sz-cs w:val="24"/>
          <w:u w:val="single"/>
          <w:color w:val="467886"/>
        </w:rPr>
        <w:t xml:space="preserve">References &amp; Image Descriptions for Family and Disability Activism</w:t>
      </w:r>
      <w:r>
        <w:rPr>
          <w:rFonts w:ascii="Times New Roman" w:hAnsi="Times New Roman" w:cs="Times New Roman"/>
          <w:sz w:val="24"/>
          <w:sz-cs w:val="24"/>
        </w:rPr>
        <w:t xml:space="preserve"/>
        <w:tab/>
        <w:t xml:space="preserve"/>
      </w:r>
      <w:r>
        <w:rPr>
          <w:rFonts w:ascii="Helvetica" w:hAnsi="Helvetica" w:cs="Helvetica"/>
          <w:sz w:val="24"/>
          <w:sz-cs w:val="24"/>
        </w:rPr>
        <w:t xml:space="preserve">1</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Prepared by: Dina Dwairi</w:t>
      </w:r>
      <w:r>
        <w:rPr>
          <w:rFonts w:ascii="Times New Roman" w:hAnsi="Times New Roman" w:cs="Times New Roman"/>
          <w:sz w:val="24"/>
          <w:sz-cs w:val="24"/>
        </w:rPr>
        <w:t xml:space="preserve"/>
        <w:tab/>
        <w:t xml:space="preserve"/>
      </w:r>
      <w:r>
        <w:rPr>
          <w:rFonts w:ascii="Helvetica" w:hAnsi="Helvetica" w:cs="Helvetica"/>
          <w:sz w:val="24"/>
          <w:sz-cs w:val="24"/>
        </w:rPr>
        <w:t xml:space="preserve">1</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Cover</w:t>
      </w:r>
      <w:r>
        <w:rPr>
          <w:rFonts w:ascii="Times New Roman" w:hAnsi="Times New Roman" w:cs="Times New Roman"/>
          <w:sz w:val="24"/>
          <w:sz-cs w:val="24"/>
        </w:rPr>
        <w:t xml:space="preserve"/>
        <w:tab/>
        <w:t xml:space="preserve"/>
      </w:r>
      <w:r>
        <w:rPr>
          <w:rFonts w:ascii="Helvetica" w:hAnsi="Helvetica" w:cs="Helvetica"/>
          <w:sz w:val="24"/>
          <w:sz-cs w:val="24"/>
        </w:rPr>
        <w:t xml:space="preserve">4</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Image Descriptions</w:t>
      </w:r>
      <w:r>
        <w:rPr>
          <w:rFonts w:ascii="Times New Roman" w:hAnsi="Times New Roman" w:cs="Times New Roman"/>
          <w:sz w:val="24"/>
          <w:sz-cs w:val="24"/>
        </w:rPr>
        <w:t xml:space="preserve"/>
        <w:tab/>
        <w:t xml:space="preserve"/>
      </w:r>
      <w:r>
        <w:rPr>
          <w:rFonts w:ascii="Helvetica" w:hAnsi="Helvetica" w:cs="Helvetica"/>
          <w:sz w:val="24"/>
          <w:sz-cs w:val="24"/>
        </w:rPr>
        <w:t xml:space="preserve">4</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Introduction</w:t>
      </w:r>
      <w:r>
        <w:rPr>
          <w:rFonts w:ascii="Times New Roman" w:hAnsi="Times New Roman" w:cs="Times New Roman"/>
          <w:sz w:val="24"/>
          <w:sz-cs w:val="24"/>
        </w:rPr>
        <w:t xml:space="preserve"/>
        <w:tab/>
        <w:t xml:space="preserve"/>
      </w:r>
      <w:r>
        <w:rPr>
          <w:rFonts w:ascii="Helvetica" w:hAnsi="Helvetica" w:cs="Helvetica"/>
          <w:sz w:val="24"/>
          <w:sz-cs w:val="24"/>
        </w:rPr>
        <w:t xml:space="preserve">5</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5</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1: Familial Relationships in Asian American Disability Advocacy and Activism</w:t>
      </w:r>
      <w:r>
        <w:rPr>
          <w:rFonts w:ascii="Times New Roman" w:hAnsi="Times New Roman" w:cs="Times New Roman"/>
          <w:sz w:val="24"/>
          <w:sz-cs w:val="24"/>
        </w:rPr>
        <w:t xml:space="preserve"/>
        <w:tab/>
        <w:t xml:space="preserve"/>
      </w:r>
      <w:r>
        <w:rPr>
          <w:rFonts w:ascii="Helvetica" w:hAnsi="Helvetica" w:cs="Helvetica"/>
          <w:sz w:val="24"/>
          <w:sz-cs w:val="24"/>
        </w:rPr>
        <w:t xml:space="preserve">9</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9</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2: Learnings from My Mother’s Couch Corner Becoming a Latina Disability Activist</w:t>
      </w:r>
      <w:r>
        <w:rPr>
          <w:rFonts w:ascii="Times New Roman" w:hAnsi="Times New Roman" w:cs="Times New Roman"/>
          <w:sz w:val="24"/>
          <w:sz-cs w:val="24"/>
        </w:rPr>
        <w:t xml:space="preserve"/>
        <w:tab/>
        <w:t xml:space="preserve"/>
      </w:r>
      <w:r>
        <w:rPr>
          <w:rFonts w:ascii="Helvetica" w:hAnsi="Helvetica" w:cs="Helvetica"/>
          <w:sz w:val="24"/>
          <w:sz-cs w:val="24"/>
        </w:rPr>
        <w:t xml:space="preserve">13</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13</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3: Tàcharan: An “Autie”-Ethnographic Examination of the Biopolitics of Changelings and Cyborgs</w:t>
      </w:r>
      <w:r>
        <w:rPr>
          <w:rFonts w:ascii="Times New Roman" w:hAnsi="Times New Roman" w:cs="Times New Roman"/>
          <w:sz w:val="24"/>
          <w:sz-cs w:val="24"/>
        </w:rPr>
        <w:t xml:space="preserve"/>
        <w:tab/>
        <w:t xml:space="preserve"/>
      </w:r>
      <w:r>
        <w:rPr>
          <w:rFonts w:ascii="Helvetica" w:hAnsi="Helvetica" w:cs="Helvetica"/>
          <w:sz w:val="24"/>
          <w:sz-cs w:val="24"/>
        </w:rPr>
        <w:t xml:space="preserve">17</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17</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4: Empathy Deficits among Neurotypicals</w:t>
      </w:r>
      <w:r>
        <w:rPr>
          <w:rFonts w:ascii="Times New Roman" w:hAnsi="Times New Roman" w:cs="Times New Roman"/>
          <w:sz w:val="24"/>
          <w:sz-cs w:val="24"/>
        </w:rPr>
        <w:t xml:space="preserve"/>
        <w:tab/>
        <w:t xml:space="preserve"/>
      </w:r>
      <w:r>
        <w:rPr>
          <w:rFonts w:ascii="Helvetica" w:hAnsi="Helvetica" w:cs="Helvetica"/>
          <w:sz w:val="24"/>
          <w:sz-cs w:val="24"/>
        </w:rPr>
        <w:t xml:space="preserve">22</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22</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5: Black Deaf Ordinary Who Deliberately Signs</w:t>
      </w:r>
      <w:r>
        <w:rPr>
          <w:rFonts w:ascii="Times New Roman" w:hAnsi="Times New Roman" w:cs="Times New Roman"/>
          <w:sz w:val="24"/>
          <w:sz-cs w:val="24"/>
        </w:rPr>
        <w:t xml:space="preserve"/>
        <w:tab/>
        <w:t xml:space="preserve"/>
      </w:r>
      <w:r>
        <w:rPr>
          <w:rFonts w:ascii="Helvetica" w:hAnsi="Helvetica" w:cs="Helvetica"/>
          <w:sz w:val="24"/>
          <w:sz-cs w:val="24"/>
        </w:rPr>
        <w:t xml:space="preserve">28</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28</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6: Intersections of Deafness, Blindness, Deafblindness, and Gender: The Deaf Community, Blindness, and Deafblind Activism in Families</w:t>
      </w:r>
      <w:r>
        <w:rPr>
          <w:rFonts w:ascii="Times New Roman" w:hAnsi="Times New Roman" w:cs="Times New Roman"/>
          <w:sz w:val="24"/>
          <w:sz-cs w:val="24"/>
        </w:rPr>
        <w:t xml:space="preserve"/>
        <w:tab/>
        <w:t xml:space="preserve"/>
      </w:r>
      <w:r>
        <w:rPr>
          <w:rFonts w:ascii="Helvetica" w:hAnsi="Helvetica" w:cs="Helvetica"/>
          <w:sz w:val="24"/>
          <w:sz-cs w:val="24"/>
        </w:rPr>
        <w:t xml:space="preserve">30</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Image Descriptions</w:t>
      </w:r>
      <w:r>
        <w:rPr>
          <w:rFonts w:ascii="Times New Roman" w:hAnsi="Times New Roman" w:cs="Times New Roman"/>
          <w:sz w:val="24"/>
          <w:sz-cs w:val="24"/>
        </w:rPr>
        <w:t xml:space="preserve"/>
        <w:tab/>
        <w:t xml:space="preserve"/>
      </w:r>
      <w:r>
        <w:rPr>
          <w:rFonts w:ascii="Helvetica" w:hAnsi="Helvetica" w:cs="Helvetica"/>
          <w:sz w:val="24"/>
          <w:sz-cs w:val="24"/>
        </w:rPr>
        <w:t xml:space="preserve">30</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Table 6.1</w:t>
      </w:r>
      <w:r>
        <w:rPr>
          <w:rFonts w:ascii="Times New Roman" w:hAnsi="Times New Roman" w:cs="Times New Roman"/>
          <w:sz w:val="22"/>
          <w:sz-cs w:val="22"/>
        </w:rPr>
        <w:t xml:space="preserve"/>
        <w:tab/>
        <w:t xml:space="preserve"/>
      </w:r>
      <w:r>
        <w:rPr>
          <w:rFonts w:ascii="Helvetica" w:hAnsi="Helvetica" w:cs="Helvetica"/>
          <w:sz w:val="22"/>
          <w:sz-cs w:val="22"/>
        </w:rPr>
        <w:t xml:space="preserve">30</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30</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7: Aging Out of Children’s Hospitals: People with Complex Medical Conditions and Their Families in the Twentieth and Twenty-First Centuries</w:t>
      </w:r>
      <w:r>
        <w:rPr>
          <w:rFonts w:ascii="Times New Roman" w:hAnsi="Times New Roman" w:cs="Times New Roman"/>
          <w:sz w:val="24"/>
          <w:sz-cs w:val="24"/>
        </w:rPr>
        <w:t xml:space="preserve"/>
        <w:tab/>
        <w:t xml:space="preserve"/>
      </w:r>
      <w:r>
        <w:rPr>
          <w:rFonts w:ascii="Helvetica" w:hAnsi="Helvetica" w:cs="Helvetica"/>
          <w:sz w:val="24"/>
          <w:sz-cs w:val="24"/>
        </w:rPr>
        <w:t xml:space="preserve">35</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35</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8: Survive and Thrive: How Little Lobbyists Empowers Families to Fight for Disability Justice</w:t>
      </w:r>
      <w:r>
        <w:rPr>
          <w:rFonts w:ascii="Times New Roman" w:hAnsi="Times New Roman" w:cs="Times New Roman"/>
          <w:sz w:val="24"/>
          <w:sz-cs w:val="24"/>
        </w:rPr>
        <w:t xml:space="preserve"/>
        <w:tab/>
        <w:t xml:space="preserve"/>
      </w:r>
      <w:r>
        <w:rPr>
          <w:rFonts w:ascii="Helvetica" w:hAnsi="Helvetica" w:cs="Helvetica"/>
          <w:sz w:val="24"/>
          <w:sz-cs w:val="24"/>
        </w:rPr>
        <w:t xml:space="preserve">39</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Image Descriptions</w:t>
      </w:r>
      <w:r>
        <w:rPr>
          <w:rFonts w:ascii="Times New Roman" w:hAnsi="Times New Roman" w:cs="Times New Roman"/>
          <w:sz w:val="24"/>
          <w:sz-cs w:val="24"/>
        </w:rPr>
        <w:t xml:space="preserve"/>
        <w:tab/>
        <w:t xml:space="preserve"/>
      </w:r>
      <w:r>
        <w:rPr>
          <w:rFonts w:ascii="Helvetica" w:hAnsi="Helvetica" w:cs="Helvetica"/>
          <w:sz w:val="24"/>
          <w:sz-cs w:val="24"/>
        </w:rPr>
        <w:t xml:space="preserve">39</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Figure 8.1</w:t>
      </w:r>
      <w:r>
        <w:rPr>
          <w:rFonts w:ascii="Times New Roman" w:hAnsi="Times New Roman" w:cs="Times New Roman"/>
          <w:sz w:val="24"/>
          <w:sz-cs w:val="24"/>
        </w:rPr>
        <w:t xml:space="preserve"/>
        <w:tab/>
        <w:t xml:space="preserve"/>
      </w:r>
      <w:r>
        <w:rPr>
          <w:rFonts w:ascii="Helvetica" w:hAnsi="Helvetica" w:cs="Helvetica"/>
          <w:sz w:val="24"/>
          <w:sz-cs w:val="24"/>
        </w:rPr>
        <w:t xml:space="preserve">39</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40</w:t>
      </w:r>
      <w:r>
        <w:rPr>
          <w:rFonts w:ascii="Times New Roman" w:hAnsi="Times New Roman" w:cs="Times New Roman"/>
          <w:sz w:val="24"/>
          <w:sz-cs w:val="24"/>
        </w:rPr>
        <w:t xml:space="preserve"/>
      </w:r>
    </w:p>
    <w:p>
      <w:pPr>
        <w:spacing w:after="160"/>
      </w:pPr>
      <w:r>
        <w:rPr>
          <w:rFonts w:ascii="Helvetica" w:hAnsi="Helvetica" w:cs="Helvetica"/>
          <w:sz w:val="24"/>
          <w:sz-cs w:val="24"/>
          <w:u w:val="single"/>
          <w:color w:val="467886"/>
        </w:rPr>
        <w:t xml:space="preserve">Chapter 9: How to Do Limitless Lifelong Self-Determination</w:t>
      </w:r>
      <w:r>
        <w:rPr>
          <w:rFonts w:ascii="Times New Roman" w:hAnsi="Times New Roman" w:cs="Times New Roman"/>
          <w:sz w:val="24"/>
          <w:sz-cs w:val="24"/>
        </w:rPr>
        <w:t xml:space="preserve"/>
        <w:tab/>
        <w:t xml:space="preserve"/>
      </w:r>
      <w:r>
        <w:rPr>
          <w:rFonts w:ascii="Helvetica" w:hAnsi="Helvetica" w:cs="Helvetica"/>
          <w:sz w:val="24"/>
          <w:sz-cs w:val="24"/>
        </w:rPr>
        <w:t xml:space="preserve">47</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Image Descriptions</w:t>
      </w:r>
      <w:r>
        <w:rPr>
          <w:rFonts w:ascii="Times New Roman" w:hAnsi="Times New Roman" w:cs="Times New Roman"/>
          <w:sz w:val="24"/>
          <w:sz-cs w:val="24"/>
        </w:rPr>
        <w:t xml:space="preserve"/>
        <w:tab/>
        <w:t xml:space="preserve"/>
      </w:r>
      <w:r>
        <w:rPr>
          <w:rFonts w:ascii="Helvetica" w:hAnsi="Helvetica" w:cs="Helvetica"/>
          <w:sz w:val="24"/>
          <w:sz-cs w:val="24"/>
        </w:rPr>
        <w:t xml:space="preserve">47</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Figure 9.1</w:t>
      </w:r>
      <w:r>
        <w:rPr>
          <w:rFonts w:ascii="Times New Roman" w:hAnsi="Times New Roman" w:cs="Times New Roman"/>
          <w:sz w:val="22"/>
          <w:sz-cs w:val="22"/>
        </w:rPr>
        <w:t xml:space="preserve"/>
        <w:tab/>
        <w:t xml:space="preserve"/>
      </w:r>
      <w:r>
        <w:rPr>
          <w:rFonts w:ascii="Helvetica" w:hAnsi="Helvetica" w:cs="Helvetica"/>
          <w:sz w:val="22"/>
          <w:sz-cs w:val="22"/>
        </w:rPr>
        <w:t xml:space="preserve">47</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Figure 9.2</w:t>
      </w:r>
      <w:r>
        <w:rPr>
          <w:rFonts w:ascii="Times New Roman" w:hAnsi="Times New Roman" w:cs="Times New Roman"/>
          <w:sz w:val="22"/>
          <w:sz-cs w:val="22"/>
        </w:rPr>
        <w:t xml:space="preserve"/>
        <w:tab/>
        <w:t xml:space="preserve"/>
      </w:r>
      <w:r>
        <w:rPr>
          <w:rFonts w:ascii="Helvetica" w:hAnsi="Helvetica" w:cs="Helvetica"/>
          <w:sz w:val="22"/>
          <w:sz-cs w:val="22"/>
        </w:rPr>
        <w:t xml:space="preserve">47</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Figure 9.3</w:t>
      </w:r>
      <w:r>
        <w:rPr>
          <w:rFonts w:ascii="Times New Roman" w:hAnsi="Times New Roman" w:cs="Times New Roman"/>
          <w:sz w:val="22"/>
          <w:sz-cs w:val="22"/>
        </w:rPr>
        <w:t xml:space="preserve"/>
        <w:tab/>
        <w:t xml:space="preserve"/>
      </w:r>
      <w:r>
        <w:rPr>
          <w:rFonts w:ascii="Helvetica" w:hAnsi="Helvetica" w:cs="Helvetica"/>
          <w:sz w:val="22"/>
          <w:sz-cs w:val="22"/>
        </w:rPr>
        <w:t xml:space="preserve">47</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Table 9.1</w:t>
      </w:r>
      <w:r>
        <w:rPr>
          <w:rFonts w:ascii="Times New Roman" w:hAnsi="Times New Roman" w:cs="Times New Roman"/>
          <w:sz w:val="22"/>
          <w:sz-cs w:val="22"/>
        </w:rPr>
        <w:t xml:space="preserve"/>
        <w:tab/>
        <w:t xml:space="preserve"/>
      </w:r>
      <w:r>
        <w:rPr>
          <w:rFonts w:ascii="Helvetica" w:hAnsi="Helvetica" w:cs="Helvetica"/>
          <w:sz w:val="22"/>
          <w:sz-cs w:val="22"/>
        </w:rPr>
        <w:t xml:space="preserve">47</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Table 9.2</w:t>
      </w:r>
      <w:r>
        <w:rPr>
          <w:rFonts w:ascii="Times New Roman" w:hAnsi="Times New Roman" w:cs="Times New Roman"/>
          <w:sz w:val="22"/>
          <w:sz-cs w:val="22"/>
        </w:rPr>
        <w:t xml:space="preserve"/>
        <w:tab/>
        <w:t xml:space="preserve"/>
      </w:r>
      <w:r>
        <w:rPr>
          <w:rFonts w:ascii="Helvetica" w:hAnsi="Helvetica" w:cs="Helvetica"/>
          <w:sz w:val="22"/>
          <w:sz-cs w:val="22"/>
        </w:rPr>
        <w:t xml:space="preserve">48</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Table 9.3</w:t>
      </w:r>
      <w:r>
        <w:rPr>
          <w:rFonts w:ascii="Times New Roman" w:hAnsi="Times New Roman" w:cs="Times New Roman"/>
          <w:sz w:val="22"/>
          <w:sz-cs w:val="22"/>
        </w:rPr>
        <w:t xml:space="preserve"/>
        <w:tab/>
        <w:t xml:space="preserve"/>
      </w:r>
      <w:r>
        <w:rPr>
          <w:rFonts w:ascii="Helvetica" w:hAnsi="Helvetica" w:cs="Helvetica"/>
          <w:sz w:val="22"/>
          <w:sz-cs w:val="22"/>
        </w:rPr>
        <w:t xml:space="preserve">48</w:t>
      </w:r>
      <w:r>
        <w:rPr>
          <w:rFonts w:ascii="Times New Roman" w:hAnsi="Times New Roman" w:cs="Times New Roman"/>
          <w:sz w:val="24"/>
          <w:sz-cs w:val="24"/>
        </w:rPr>
        <w:t xml:space="preserve"/>
      </w:r>
    </w:p>
    <w:p>
      <w:pPr>
        <w:ind w:left="440"/>
        <w:spacing w:after="100"/>
      </w:pPr>
      <w:r>
        <w:rPr>
          <w:rFonts w:ascii="Helvetica" w:hAnsi="Helvetica" w:cs="Helvetica"/>
          <w:sz w:val="22"/>
          <w:sz-cs w:val="22"/>
          <w:u w:val="single"/>
          <w:color w:val="467886"/>
        </w:rPr>
        <w:t xml:space="preserve">Table 9.4</w:t>
      </w:r>
      <w:r>
        <w:rPr>
          <w:rFonts w:ascii="Times New Roman" w:hAnsi="Times New Roman" w:cs="Times New Roman"/>
          <w:sz w:val="22"/>
          <w:sz-cs w:val="22"/>
        </w:rPr>
        <w:t xml:space="preserve"/>
        <w:tab/>
        <w:t xml:space="preserve"/>
      </w:r>
      <w:r>
        <w:rPr>
          <w:rFonts w:ascii="Helvetica" w:hAnsi="Helvetica" w:cs="Helvetica"/>
          <w:sz w:val="22"/>
          <w:sz-cs w:val="22"/>
        </w:rPr>
        <w:t xml:space="preserve">49</w:t>
      </w:r>
      <w:r>
        <w:rPr>
          <w:rFonts w:ascii="Times New Roman" w:hAnsi="Times New Roman" w:cs="Times New Roman"/>
          <w:sz w:val="24"/>
          <w:sz-cs w:val="24"/>
        </w:rPr>
        <w:t xml:space="preserve"/>
      </w:r>
    </w:p>
    <w:p>
      <w:pPr>
        <w:ind w:left="240"/>
        <w:spacing w:after="160"/>
      </w:pPr>
      <w:r>
        <w:rPr>
          <w:rFonts w:ascii="Helvetica" w:hAnsi="Helvetica" w:cs="Helvetica"/>
          <w:sz w:val="24"/>
          <w:sz-cs w:val="24"/>
          <w:u w:val="single"/>
          <w:color w:val="467886"/>
        </w:rPr>
        <w:t xml:space="preserve">Chapter References / Citations</w:t>
      </w:r>
      <w:r>
        <w:rPr>
          <w:rFonts w:ascii="Times New Roman" w:hAnsi="Times New Roman" w:cs="Times New Roman"/>
          <w:sz w:val="24"/>
          <w:sz-cs w:val="24"/>
        </w:rPr>
        <w:t xml:space="preserve"/>
        <w:tab/>
        <w:t xml:space="preserve"/>
      </w:r>
      <w:r>
        <w:rPr>
          <w:rFonts w:ascii="Helvetica" w:hAnsi="Helvetica" w:cs="Helvetica"/>
          <w:sz w:val="24"/>
          <w:sz-cs w:val="24"/>
        </w:rPr>
        <w:t xml:space="preserve">49</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Cover </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Image Descriptions</w:t>
      </w:r>
    </w:p>
    <w:p>
      <w:pPr>
        <w:spacing w:after="160"/>
      </w:pPr>
      <w:r>
        <w:rPr>
          <w:rFonts w:ascii="Helvetica" w:hAnsi="Helvetica" w:cs="Helvetica"/>
          <w:sz w:val="24"/>
          <w:sz-cs w:val="24"/>
        </w:rPr>
        <w:t xml:space="preserve">Page # : Cover</w:t>
      </w:r>
    </w:p>
    <w:p>
      <w:pPr>
        <w:spacing w:after="160"/>
      </w:pPr>
      <w:r>
        <w:rPr>
          <w:rFonts w:ascii="Helvetica" w:hAnsi="Helvetica" w:cs="Helvetica"/>
          <w:sz w:val="24"/>
          <w:sz-cs w:val="24"/>
        </w:rPr>
        <w:t xml:space="preserve">Alt text</w:t>
      </w:r>
      <w:r>
        <w:rPr>
          <w:rFonts w:ascii="Times New Roman" w:hAnsi="Times New Roman" w:cs="Times New Roman"/>
          <w:sz w:val="24"/>
          <w:sz-cs w:val="24"/>
        </w:rPr>
        <w:t xml:space="preserve"> </w:t>
      </w:r>
      <w:r>
        <w:rPr>
          <w:rFonts w:ascii="Helvetica" w:hAnsi="Helvetica" w:cs="Helvetica"/>
          <w:sz w:val="24"/>
          <w:sz-cs w:val="24"/>
        </w:rPr>
        <w:t xml:space="preserve">: Portrait of a cyborg infant in a green that also features curious birds, a growth chart, flower pictures and a dream catcher.</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A completed painting depicting a cyborg infant in a green bassinet. Birds have entered the room through an open window. They have toppled a potted plant which lies beside the cradle. A yellow canary stands on the floor below a child’s growth chart. It appears to be looking into a closest in which an empty cradleboard is just visible in the shadows. Three pictures of flowers decorate the wall above the cradle. A dream catcher hangs from a curtain rod above the cradle from which is also draped a white lace curtain. One of the birds, a brown headed cowbird pulls on the wires attached to the infant’s arm.  </w:t>
      </w:r>
    </w:p>
    <w:p>
      <w:pPr>
        <w:spacing w:before="240" w:after="60"/>
      </w:pPr>
      <w:r>
        <w:rPr>
          <w:rFonts w:ascii="Helvetica" w:hAnsi="Helvetica" w:cs="Helvetica"/>
          <w:sz w:val="32"/>
          <w:sz-cs w:val="32"/>
          <w:b/>
        </w:rPr>
        <w:t xml:space="preserve">Chapter: Introduction </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Kerima Çevik, “Autistic while Black: The Erasure of Blacks from Histories of Autism,” Intersected (blog), January 22, 2016, http://intersecteddisability.blogspot.com /2016 /01/autistic-while-black-erasure-of-blacks.html; Shayda Kafai, Crip Kinship: The Disability Justice &amp; Art Activism of Sins Invalid (Vancouver: Arsenal Pulp Press, 2021); Akemi Nishida, Just Care: Messy Entanglements of Disability, Dependency, and Desire (Philadelphia: Temple University Press, 2022); Leah Lakshmi Piepzna-Samarasinha, Care Work: Dreaming Disability Justice (Vancouver: Arsenal Pulp Press, 2018); Sami Schalk, Body minds Reimagined: (Dis)ability, Race, and Gender in Black Women’s Speculative Fiction (Durham, NC: Duke University Press, 2018); Sami Schalk, Black Disability Politics (Dur ham, NC: Duke University Press, 2022); Alice Wong, Disability Visibility: First-Person Stories from the Twenty-First Century (New York: Vintage, 2020); Alice Wong, Year of the Tiger: An Activist’s Life (New York: Penguin Random House,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Allison C. Carey, Pamela Block, and Richard K. Scotch, Allies and Obstacles: Par ents of Children with Disabilities and Disability Rights (Philadelphia: Temple University Press, 2020); Barry Jones, Childhood Disability in a Multicultural Society (London: CRC Press, 2004); Lanita Jacobs, Mary Lawlor, and Cheryl Mattingly, “I/We Narratives among African-American Families Raising Children with Special Needs,” Culture, Medicine, and Psychiatry 35 (2011): 3–25; Jennifer A. Reich, Calling the Shots: Why Parents Reject Vaccines (New York: New York University Press, 2016).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Allison C. Carey, On the Margins of Citizenship: Intellectual Disability and Civil Rights in Twentieth-Century America (Philadelphia: Temple University Press, 2009), 15; Jennifer N. Fink, All Our Families: Disability Lineage and the Future of Kinship (Boston: Beacon Press 2022); Jones, Childhood Disability in a Multicultural Society; Laura Mauldin, Made to Hear: Cochlear Implants and Raising Deaf Children (Chicago: University of Minnesota Press, 2016).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Liat Ben-Moshe, Chris Chapman, and Allison C. Carey, eds., Disability Incarcerated: Imprisonment and Disability in the United States and Canada (New York: Palgrave Macmillan, 2014); Liat Ben-Moshe, Decarcerating Disability: Deinstitutionalization and Prison Abolition (Chicago: University of Minnesota Press, 2020); Nirmala Erevelles, “Thinking with Disability Studies,” Disability Studies Quarterly 34, no. 2 (2014); Nirmala Erevelles and Andrea Minear, “Unspeakable Offenses: Untangling Race and Disability in Dis courses of Intersectionality,” Journal of Literary &amp; Cultural Disability Studies 4, no. 2 (2010): 127–45, https://doi.org/10.3828/jlcds.2010.11; Michael Gill and Nirmala Erevelles, “The Absent Presence of Elsie Lacks: Hauntings at the Intersection of Race, Class, Gen der, and Disability,” African American Review 50, no. 2 (2017): 123–37, </w:t>
      </w:r>
      <w:r>
        <w:rPr>
          <w:rFonts w:ascii="Helvetica" w:hAnsi="Helvetica" w:cs="Helvetica"/>
          <w:sz w:val="24"/>
          <w:sz-cs w:val="24"/>
          <w:u w:val="single"/>
          <w:color w:val="467886"/>
        </w:rPr>
        <w:t xml:space="preserve">https://doi.org/10 .1353/afa.2017.0017</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Piepzna-Samarasinha, Care Work; Nishida, Just Care.</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Carey, Block, and Scotch, Allies and Obstacles; Hannah B. Rosqvist, Charlotte Brown low, and Lindsay O’Dell, “‘An Association for All’: Notions of the Meaning of Autistic Self-Advocacy Politics within a Parent-Dominated Movement,” Journal of Community and Applied Psychology 25, no. 3 (2015): 219–31.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Jennifer L. Erkulwater, “How the Nation’s Largest Minority Became White: Race Politics and the Disability Rights Movement, 1970–1980,” Journal of Policy History 30, no. 3 (July 2018): 367–99, https://doi.org/10.1017/S0898030618000143; Leroy F. Moore Jr., Talila A. Lewis, and Lydia X. Z. Brown, “Accountable Reporting on Disability, Race, and Police Violence: A Community Response to the ‘Ruderman White Paper on the Media Coverage of Use of Force and Disability,’” May 16, 2016, https://docs.google.com/document/d/117eoVeJVP594L6-1bgL8zpZrzgojfsveJwcWuHpkNcs/; Wong, Year of the Tiger.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Corbett Joan O’Toole, Fading Scars: My Queer Disability History (Fort Worth, TX: Autonomous Press, 2015); Jaclyn Ellis, “Tàcharan: An ‘Autie’-Ethnographic Examination of the Biopolitics of Changelings and Cyborgs,” in Family and Disability Activism, ed. Pamela Block, Allison C. Carey, and Richard K. Scotch (Philadelphia: Temple Univer sity Press, 2024); Bridget Liang, “Empathy Deficits among Neurotypicals,” in Family and Activism, ed. Pamela Block, Allison C. Carey, And Richard k. scotch (Philadelphia: Temple University Press, 2024); Wong, Year of the Tiger; Eli Clare, Exile and Pride: Disability, Queerness, and Liberation (Durham, NC: Duke University Press, 1999); Leah Lakshmi Piepzna-Samarasinha, The Future Is Disabled (Vancouver: Arsenal Pulp Press,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Çevik, “Autistic while Black”; Nishida, Just Care; Piepzna-Samarasinha, The Future Is Disabled; Wong, Disability Visibility; Wong, Year of the Tiger.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Patty Berne, “Disability Justice—A Working Draft by Patty Berne,” Sins Invalid: An Unshamed Claim to Beauty in the Face of Invisibility (blog), June 10, 2015, https:// www.sinsinvalid.org/blog/disability-justice-a-working-draft-by-patty-berne; Mia Mingus, “Access Intimacy, Interdependence and Disability Justice,” Leaving Evidence (blog), April 12, 2017, https://leavingevidence.wordpress.com/2017/04/12/access-intimacy-inter dependence-and-disability-justice/.</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Linda Blum, Raising Generation Rx: Mothering Kids with Invisible Disabilities (New York: New York University Press, 2015); Sharon Hays, The Cultural Contradictions of Motherhood (New Haven: Yale University Press, 2011); Amy C. Sousa, “From Refrigerator Mothers to Warrior-Heroes: The Cultural Identity Transformation of Mothers Raising Children with Intellectual Disabilities,” Symbolic Interactionism 34, no. 2 (2011): 220–43; Glenda Wall, “Mothers’ Experiences with Intensive Parenting and Brain Development Discourse,” Women’s Studies International Forum 33, no. 3 (2010): 253–63.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Blum, Raising Generation Rx; Dionna Cheatham, “Unpacking the Social and Eco nomic Disparities among Disabled Black Mothers,” McNair Scholars Journal 19, no. 1 (2015): 18–25; Angela Frederick, “Between Stigma and Mother-Blame: Blind Mothers’ Experiences in USA Hospitals Post-natal Care,” Sociology of Health and Illness 37, no. 8 (2015): 117–41; Kelly Fritsch, “Contesting the Neoliberal Affects of Disabled Parenting: Toward a Relational Emergence of Disability,” in Michael Rembis Disabling Domesticity (New York: Palgrave, 2017), 243–67.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Amber M. Angell and Olga Solomon, “‘If I Was a Different Ethnicity, Would She Treat Me the Same?’: Latino Parents’ Experiences Obtaining Autism Services,” Disability and Society 32, no. 8 (2017): 1142–64; Jacobs, Lawlor, and Mattingly, “I/We Narratives among African-American Families”; Summer L. G. Stanely, “The Advocacy Efforts of African American Mothers of Children with Disabilities in Rural Special Education: Considerations for School Professionals,” Rural Special Education Quarterly 34, no. 4 (2015): 3–17.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Nishida, Just Care.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O’Toole, Fading Scars.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Valerie Leiter, Their Time Has Come: Youth with Disabilities Entering Adulthood (New Brunswick, NJ: Rutgers University Press, 2012).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Ben-Moshe, Decarcerating Disabiliy; Erevelles, “Thinking with Disability Studies”; Erevelles and Minear, “Unspeakable Offenses”; Gill and Erevelles, “The Absent Presence of Elsie Lacks.”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Doris Fleischer and Freida Zames, The Disability Rights Movement: From Charity to Confrontation (Philadelphia: Temple University Press, 2011); Richard K. Scotch, From Good Will to Civil Rights: Transforming Federal Disability Policy (Philadelphia: Temple University Press, 1984).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Moore Jr., Lewis, and Brown, “Accountable Reporting on Disability, Race, and Po lice Violence”; Wong, Year of the Tiger; Piepzna-Samarasinha, The Future Is Disabled.</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1: Familial Relationships in Asian American Disability Advocacy and Activism</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Deepa Shivaram, “Illinois Has Become the First State to Require the Teaching of Asian American History,” NPR, July 13, 2021, https://www.npr.org/2021/07/13/1015596570 /illinois-has-become-the-first-state-to-require-the-teaching-of-asian-american-hi.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Elaine H. Kim, “‘At Least You’re Not Black’: Asian Americans in U.S. Race Relations,” Social Justice 25, no. 3 (1998): 3–12.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Kimmy Yam, “Led by AAPI Scholars, Thousands of Academics Tell Supreme Court They Support Affirmative Action,” NBC News, August 4, 2022, https://www.nbcnews.com /news/asian-america/led-aapi-scholars-thousands-academics-tell-supreme-court-support -affir-rcna41412.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Nina Totenberg, “Supreme Court Guts Affirmative Action, Effectively Ending Race Conscious Admissions,” NPR, June 29, 2023, https://www.npr.org/2023 /06 /29 /1181 1380 66/affirmative-action-supreme-court-decision.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Adam Janos, “How Cesar Chavez Joined Larry Itliong to Demand Farm Workers’ Rights,” History, January 22, 2021, https://www.history.com/news/chavez-itliong-delano -grape-strike.</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Anna Purna Kambhampaty, “In 1968, These Activists Coined the Term ‘Asian American’—And Helped Shape Decades of Advocacy,” Time, May 22, 2020, https://time.com /5837805/asian-american-history/.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“Richard Aoki, Activist Born,” African American Registry, 2023, https://aaregistry .org/story/richard-aoki-brilliant-panther/.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“May 19, 1921: Yuri Kochiyama Born,” Zinn Education Project, 2023, https://www .zinnedproject.org/news/tdih/yuri-kochiyama-was-born/.</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Dennis Harvey, “‘Free Chol Soo Lee’ Review: Remembering a Cause Célèbre of Ko rean-American Activism,” Variety, January 21, 2022, https://variety.com/2022/film/re views /free-chol-soo-lee-review-1235156892/.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Paula Yoo, From a Whisper to a Rallying Cry: The Killing of Vincent Chin and the Trial That Galvanized the Asian American Movement (New York: Norton Young Readers, 2021).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Kimmy Yam, “Viral Images Show People of Color as Anti-Asian Perpetrators. That Misses the Big Picture,” NBC News, June 15, 2021, https://www.nbcnews.com/news/asian-america/viral-images-show-people-color-anti-asian-perpetrators-misses-big-n127 0821.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Wondam Paik, “The 60th Anniversary of the Bandung Conference and Asia,” Inter</w:t>
      </w:r>
      <w:r>
        <w:rPr>
          <w:rFonts w:ascii="Times New Roman" w:hAnsi="Times New Roman" w:cs="Times New Roman"/>
          <w:sz w:val="24"/>
          <w:sz-cs w:val="24"/>
        </w:rPr>
        <w:t xml:space="preserve">-</w:t>
      </w:r>
      <w:r>
        <w:rPr>
          <w:rFonts w:ascii="Helvetica" w:hAnsi="Helvetica" w:cs="Helvetica"/>
          <w:sz w:val="24"/>
          <w:sz-cs w:val="24"/>
        </w:rPr>
        <w:t xml:space="preserve"> Asia Cultural Studies 17, no. 1 (2016): 148–57, http://doi.org/10.1080/14649373.2016.11 50246.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Aggie J. Yellow Horse and Theresa Chen, “Two Years and Thousands of Voices: What Community-Generated Data Tells Us about Anti-AAPI Hate,” Stop AAPI Hate, 2022, https://stopaapihate.org/wp-content/uploads/2022/07/Stop-AAPI-Hate-Year-2-Report .pdf.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“About,” Unity March, n.d., accessed December 20, 2023, https://www.unitymarch .com/en/about.</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Grace Tsao, Familial Relationships in Asian American Disability Advocacy and Activism (Des Plaines, IL: Google Forms survey,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Weihe Huang, David A. Delambo, Ricky Kot, Ineko Ito, Henry Long, and Karen Dunn, “Self-Advocacy Skills in Asian American Parents of Children with Developmental Disabilities,” Journal of Ethnic and Cultural Diversity in Social Work 13, no. 1 (2004): 1–18, http://doi.org/10.1300/J051v13n01_01.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B. W. K. Yee, J. Su, S. Y. Kim, and L. Yancura, “Asian American and Pacific Islander Families,” in Asian American Psychology: Current Perspectives, ed. N. Tewari and A. N. Alvarez (New York: Taylor &amp; Francis, 2009), 295–315.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Abby Budiman and Neil G. Ruiz, “Key Facts about Asian Americans, a Diverse and Growing Population,” Pew Research Center, April 29, 2021, https://www.pewresearch .org/fact-tank/2021/04/29/key-facts-about-asian-americans/.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United States Census Bureau, “2019: ACS 1-Year Estimates Subject Tables: Dis ability Characteristics,” 2023, https://data.census.gov/table/ACSST1Y2019.S1810?q =S0201.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Amy Fong, “Disability Data Snapshot: Asian Americans and Pacific Islanders,” U.S. Department of Labor (blog), July 12, 2022, https://blog.dol.gov/2022/07/12/disability -data-snapshot-asian-americans-and-pacific-islanders.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Tsao, Familial Relationships.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Leah Lakshmi Piepzna-Samarasinha, Care Work: Dreaming Disability Justice (Van couver: Arsenal Pulp Press 2018).</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“An Interview with Japanese American Disabled Historian Selena Moon,” Asian American Organizing Project, July 26, 2022, https://aaopmn.org/2022/07/26/national -disability-independence-day-2022-an-interview-with-japanese-american-disabled-his torian-selena-moon/.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Alice Wong, “Disability &amp; Intersectionality Summit: Interview w/ Sandy Ho,” Dis ability Visibility Project, June 14, 2016, https://disabilityvisibilityproject.com/2016/06/14 /disability-intersectionality-summit-interview-w-sandy-ho/.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“About,” Leah Lakshmi Piepzna-Samarasinha, 2023, https://brownstargirl.org /about/.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“About,” Disability Visibility Project, 2023, https://disabilityvisibilityproject.com /about/.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“Mia Ives-Rublee: Director, Disability Justice Initiative,” Center for American Prog ress, 2023, </w:t>
      </w:r>
      <w:r>
        <w:rPr>
          <w:rFonts w:ascii="Helvetica" w:hAnsi="Helvetica" w:cs="Helvetica"/>
          <w:sz w:val="24"/>
          <w:sz-cs w:val="24"/>
          <w:u w:val="single"/>
          <w:color w:val="467886"/>
        </w:rPr>
        <w:t xml:space="preserve">https://www.americanprogress.org/people/ives-rublee-mia/</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“About,” Chella Man, n.d., accessed December 20, 2023, https://chellaman.com /About.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“About,” Lydia X. Z. Brown: Building and Sustaining Love, Liberation, and Justice, n.d., accessed December 20, 2023, </w:t>
      </w:r>
      <w:r>
        <w:rPr>
          <w:rFonts w:ascii="Helvetica" w:hAnsi="Helvetica" w:cs="Helvetica"/>
          <w:sz w:val="24"/>
          <w:sz-cs w:val="24"/>
          <w:u w:val="single"/>
          <w:color w:val="467886"/>
        </w:rPr>
        <w:t xml:space="preserve">https://lydiaxzbrown.com/about</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Grace Tsao, “Growing up Asian American with a Disability: 10 Years Later,” TASH Connections 35, no. 2 (2009).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Tsao, Familial Relationships.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Kevin L. Nadal, “The Brown Asian American Movement: Advocating for South Asian, Southeast Asian, and Filipino American Communities,” Asian American Policy Review 29 (2019): 2–11.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Kevin L. Nadal, Kara M. Vigilia Escobar, Gail T. Prado, E. J. R. David, and Kristal Haynes, “Racial Microaggressions and the Filipino American Experience: Recommen dations for Counseling and Development,” Journal of Multicultural Counseling and De velopment 40, no. 3 (2012): 156–73.</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Tsao, Familial Relationships.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43.</w:t>
        <w:tab/>
        <w:t xml:space="preserve">Huang et al., “Self-Advocacy Skills in Asian American Parents of Children with Developmental Disabilities.”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44.</w:t>
        <w:tab/>
        <w:t xml:space="preserve">Tsao, Familial Relationships.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45.</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46.</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47.</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48.</w:t>
        <w:tab/>
        <w:t xml:space="preserve">Barbara W. K. Yee, Jenny Su, Su Y. Kim, and Loriena Yancura, “Asian American and Pacific Islander families,” in Asian American Psychology: Current Perspectives, ed. Nita Tewari and Alvin N. Alvarez (New York: Taylor &amp; Francis, 2009), 295–315.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49.</w:t>
        <w:tab/>
        <w:t xml:space="preserve">Tsao, Familial Relationships</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2: Learnings from My Mother’s Couch Corner Becoming a Latina Disability Activist</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Alexis Padilla, “LatDisCrit: Exploring Latinx Global South DisCrit Reverberations as Spaces toward Emancipatory Learning and Radical Solidarity,” in DisCrit Expanded: Inquiries, Reverberations and Ruptures, ed. Subini A. Annamma, Beth A. Ferri, and David J. Connor (New York: Teachers College Press, 2021), 147–62.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Kimberlé Crenshaw, “Demarginalizing the Intersection of Race and Sex: A Black Feminist Critique of Antidiscrimination Doctrine, Feminist Theory and Antiracist Politics,” University of Chicago Legal Forum 1989, no. 1 (1989): 139–67, https://chicagoun bound.uchicago.edu/uclf/vol1989/iss1/8.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Lisette E. Torres and Leonor Vanik, “¡PRESENTE! The National Coalition for Latinxs with Disabilities,” Intervenxions, Latinx Project, November 24, 2020, https://www .latinx project.nyu.edu/intervenxions/national-coalition-for-latinxs-with-disabilities.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Lisette E. Torres, “Sobreviviendo Sin Sacrificando (Surviving without Sacrificing): An Intersectional DisCrit Testimonio from a Tired Mother-Scholar of Color,” Race Ethnicity and Education 24, no. 5 (2021): 623–36, </w:t>
      </w:r>
      <w:r>
        <w:rPr>
          <w:rFonts w:ascii="Helvetica" w:hAnsi="Helvetica" w:cs="Helvetica"/>
          <w:sz w:val="24"/>
          <w:sz-cs w:val="24"/>
          <w:u w:val="single"/>
          <w:color w:val="467886"/>
        </w:rPr>
        <w:t xml:space="preserve">https://doi.org/10.1080/13613324.2021.1918402</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Jessica E. Peña, Ricardo Henrique Lowe Jr., and Merarys Ríos-Vargas, “Colombian and Honduran Populations Surpassed a Million for First Time; Venezuelan Population Grew the Fastest of all Hispanic Groups Since 2010,” United States Census Bureau, September 26, 2023, https://www.census.gov/library/stories/2023/09/2020-census-dhc-a -hispanic-population.html.</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Torres and Vanik, “¡PRESENTE!”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Shayda Kafai, Crip Kinship: The Disability Justice and Art Activism of Sins Invalid (Vancouver: Arsenal Pulp Press, 2021), 71.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National Eye Institute, “Retinitis Pigmentosa,” NEI, last modified March 30, 2022, https://www.nei.nih.gov/learn-about-eye-health/eye-conditions-and-diseases/retintis -pigmentosa.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A concept coined in 2017 by crip ancestor and disability rights activist Stacey Park Milbern and shared on episode six of the Disability Visibility Podcast with host Alice Wong. The episode is titled “Ep 6: Labor, Care Work, and Disabled Queer Femmes.”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Torres and Vanik, “¡PRESENTE!”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Crenshaw, “Demarginalizing the Intersection of Race and Sex.”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Padilla, “LatDisCrit”; Alexis Padilla, Disability, Intersectional Agency and Latinx Identity: Theorizing LatDisCrit Counterstories (Abingdon: Routledge,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Dolores Delgado Bernal, “Critical Race Theory, LatCrit Theory, and Critical Race Gendered Epistemologies: Recognizing Students of Color as Holders and Creators of Knowledge,” Qualitative Inquiry 8, no. 1 (2002): 105–26, https://doi.org/10.1177 /1077 800 40200800107; Erica R. Dávila and Ann Aviles de Bradley, “Examining Education for Latinas/os in Chicago: A CRT/LatCrit Approach,” Educational Foundations 24, no. 1 36 (2010): 39–58; Daniel Solórzano and Dolores Delgado Bernal, “Examining Transformational Resistance through a Critical Race and LatCrit Theory Framework: Chicana and Chicano Students in an Urban Context,” Urban Education 36, no. 3 (2001): 308–42, https://doi.org/10.1177/0042085901363002; Francisco Valdés, “Theorizing ‘OutCrit’ Theories: Coalitional Method and Comparative Jurisprudential Experience—RaceCrits, QueerCrits and LatCrits,” University of Miami Law Review 53 no. 4 (1999): 1265–306, https://repository.law.miami.edu/umlr/vol53/iss4/39; Francisco Valdés, “Race, Ethnicity, and Hispanismo in a Triangular Perspective: The ‘Essential Latina/o’ and LatCrit Theory,” UCLA Law Review 48 (2000): 1–41; Tara J. Yosso, Critical Race Counterstories along the Chicana/Chicano Educational Pipeline (New York: Routledge, 2006).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Subini A. Annamma, David J. Connor, and Beth A. Ferri, “Introduction: A Truncated Genealogy of DisCrit,” in DisCrit: Disability Studies and Critical Race Theory in Education, ed. David J. Connor, Beth A. Ferri, and Subini A. Annamma (New York: Teachers College Press, 2016), 1–9.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Angela Calabrese Barton and Edna Tan, “Beyond Equity as Inclusion: A Framework of ‘Rightful Presence’ for Guiding Justice-Oriented Studies in Teaching and Learning,” Educational Researcher 49, no. 6 (2020): 433–40, https://doi.org/10.3102 /0013 189X 20927363.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Padilla, Disability, Intersectional Agency and Latinx Identity.</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Kafai, Crip Kinship, 25.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Mia Mingus, Leaving Evidence (blog), n.d., accessed December 17, 2023, https:// leavingevidence.wordpress.com/.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“Una cabeza dura” means “a hard head” in Spanish.</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“Yo no soy ciega” means “I am not blind” in Spanish.</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Andrea Lausell, “For Years I Refused to Speak Spanish Because of How It Patronized My Disability,” Fierce, September 11, 2018, https://fierce.wearemitu.com/identities /i-can -say-im-disabled-in-english-but-not-in-spanish/.</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A term coined in 2012 by crip ancestor and disability rights activist Stella Young in an editorial in the Australian Broadcasting Corporation’s webzine Ramp Up; Stella Young, “We’re Not Here for Your Inspiration,” ABC News, July 2, 2012, https://www.abc .net.au/news/2012-07-03/young-inspiration-porn/4107006.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Alexis Padilla, “LatDisCrit as Intersectional Agency in Decolonial Subalternity and Disability Justice,” in Crip Authorship, ed. Mara Mills and Rebecca Sanchez (New York: NYU Press, 2023), 85–86.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Ellen Samuels, “Six Ways of Looking at Crip Time,” Disability Studies Quarterly (DSQ) 37, no. 3 (2017): para. 11, </w:t>
      </w:r>
      <w:r>
        <w:rPr>
          <w:rFonts w:ascii="Helvetica" w:hAnsi="Helvetica" w:cs="Helvetica"/>
          <w:sz w:val="24"/>
          <w:sz-cs w:val="24"/>
          <w:u w:val="single"/>
          <w:color w:val="467886"/>
        </w:rPr>
        <w:t xml:space="preserve">https://doi.org/10.18061/dsq.v37i3.5824</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25.</w:t>
        <w:tab/>
        <w:t xml:space="preserve">Fiona A. K. Campbell, “Exploring Internalized Ableism Using Critical Race Theory,” Disability &amp; Society 23, no. 2 (2008): 157, </w:t>
      </w:r>
      <w:r>
        <w:rPr>
          <w:rFonts w:ascii="Helvetica" w:hAnsi="Helvetica" w:cs="Helvetica"/>
          <w:sz w:val="24"/>
          <w:sz-cs w:val="24"/>
          <w:u w:val="single"/>
          <w:color w:val="467886"/>
        </w:rPr>
        <w:t xml:space="preserve">https://doi.org/10.1080/09687590701841190</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Kafai, Crip Kinship, 90.</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Torres and Vanik, “¡PRESENTE!”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Jason Espinoza and Sabrina Derrington, “How Should Clinicians Respond to Language Barriers That Exacerbate Health Inequity?” AMA Journal of Ethics 23, no. 2 (2021): E109–16, </w:t>
      </w:r>
      <w:r>
        <w:rPr>
          <w:rFonts w:ascii="Helvetica" w:hAnsi="Helvetica" w:cs="Helvetica"/>
          <w:sz w:val="24"/>
          <w:sz-cs w:val="24"/>
          <w:u w:val="single"/>
          <w:color w:val="467886"/>
        </w:rPr>
        <w:t xml:space="preserve">https://doi.org/10.1001/amajethics.2021.109</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Nicola Brodie, Bruce Bernstein, Francis McNesby, and Renee Turchi, “The Experience of Latina Mothers of Children and Youth with Special Health Care Needs: A Qualitative Study,” Global Pediatric Health 6 (2019): 1–7, https://doi.org/10.1177 /2333794 X19851390.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Giyeon Kim, Courtney B. Worley, Rebecca S. Allen, Latrice Vinson, Martha R. Crowther, Patricia Parmelee, and David A. Chiriboga, “Vulnerability of Older Latino and Asian Immigrants with Limited English Proficiency,” Journal of the American Geriatrics Society 59, no. 7 (2011): 1246–52, </w:t>
      </w:r>
      <w:r>
        <w:rPr>
          <w:rFonts w:ascii="Helvetica" w:hAnsi="Helvetica" w:cs="Helvetica"/>
          <w:sz w:val="24"/>
          <w:sz-cs w:val="24"/>
          <w:u w:val="single"/>
          <w:color w:val="467886"/>
        </w:rPr>
        <w:t xml:space="preserve">https://doi.org/10.1111/j.1532-5415.2011.03483.x</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Espinoza and Derrington, “How Should Clinicians Respond,” 111.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Allison C. Carey, Pamela Block, and Richard K. Scotch, “Sometimes Allies: Parent-Led Disability Organizations and Social Movements,” Disability Studies Quarterly 39, no. 1 (2019), </w:t>
      </w:r>
      <w:r>
        <w:rPr>
          <w:rFonts w:ascii="Helvetica" w:hAnsi="Helvetica" w:cs="Helvetica"/>
          <w:sz w:val="24"/>
          <w:sz-cs w:val="24"/>
          <w:u w:val="single"/>
          <w:color w:val="467886"/>
        </w:rPr>
        <w:t xml:space="preserve">https://doi.org/10.18061/dsq.v39i1</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Kafai, Crip Kinship, 48.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Ibid., 73.</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Torres, “Sobreviviendo Sin Sacrificando (Surviving without Sacrificing).”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Kafai, Crip Kinship, 51.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Bianca C. Williams, “Radical Honesty: Truth-Telling as Pedagogy for Working through Shame in Academic Spaces,” in Race, Equity and the Learning Environment: The Global Relevance of Critical and Inclusive Pedagogies in Higher Education, ed. Frank Tuitt, Chayla Haynes, and Saran Stewart (Sterling, VA: Stylus, 2016), 71–82.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Pascuala Herrera, My Mom Rocks; Her Chair Rolls (self-published, 2021), https:// sites.google.com/view/pascualaherreralibrary/my-booksmis-libros/my-mom-rocks-mi -mamá-es-la-mejor.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Lissa D. Ramirez-Stapleton, Black Deaf Lives Matter (self-published, 2021), https:// </w:t>
      </w:r>
      <w:r>
        <w:rPr>
          <w:rFonts w:ascii="Helvetica" w:hAnsi="Helvetica" w:cs="Helvetica"/>
          <w:sz w:val="24"/>
          <w:sz-cs w:val="24"/>
          <w:u w:val="single"/>
          <w:color w:val="467886"/>
        </w:rPr>
        <w:t xml:space="preserve">www.drlissad.com/black-deaf-lives-matter-activity-bo</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Mia Mingus, “Access Intimacy: The Missing Link,” Leaving Evidence (blog), May 5, 2011, https://leavingevidence.wordpress.com/2011/05/05/access-intimacy-the-missing -link/.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“Nada sobre nosotros sin nosotros” means “nothing about us without us” in Spanish.</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3: Tàcharan: An “Autie”-Ethnographic Examination of the Biopolitics of Changelings and Cyborgs</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Henry Fuseli, Der Wechselbalg, 1781, black chalk and watercolor on paper, Kunst haus Zürich, Zürich,https://gd.wikipedia.org/wiki/Faidhle:Füssli_-_Der_Wechselbalg _-_1780.jpeg; Sir Walter Scott, “On the Fairies of Popular Superstition: Introduction to ‘The Tale of Tamlane,’” in Minstrelsy of the Scottish Border, ed. Robert Cadell (Edinburgh: Ballantyne, 1849), 254–336; Robert Hunt, “The Piskies’ Changeling,” in Popular Romances of the West of England: The Drolls, Traditions, and Superstitions of Old Cornwall, ed. Robert Hunt (London: John Camden Hotten, 1871), 95–96; Walter Y. Evans-Wentz, “A Changeling Musician,” in The Fairy Faith in Celtic Countries, ed. Henry Frowde (Ox ford: Oxford University Press, 1911), 128–29; Kirsty McRoberts, “Shape Shifting, Meta morphosis and the Cycle of Life and Death in Early Modern Scottish Poetry” (master’s thesis, University of Glasgow, 2004), 86, ProQuest Dissertations &amp; Theses Global.</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Donna J. Haraway, “A Cyborg Manifesto: Science, Technology, and Socialist-Feminism in the Late Twentieth Century,” in Manifestly Haraway Donna J. Haraway (Minneapolis: University of Minnesota Press, 2016), 3–90.</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Teunie van der Palen, “A Cyborg Autobiography: Autism &amp; the Posthuman” (master’s thesis, Utrecht University, 2014), 126, </w:t>
      </w:r>
      <w:r>
        <w:rPr>
          <w:rFonts w:ascii="Helvetica" w:hAnsi="Helvetica" w:cs="Helvetica"/>
          <w:sz w:val="24"/>
          <w:sz-cs w:val="24"/>
          <w:u w:val="single"/>
          <w:color w:val="467886"/>
        </w:rPr>
        <w:t xml:space="preserve">https://studenttheses.uu.nl/handle/20.500 .12932 /17487</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4.</w:t>
        <w:tab/>
        <w:t xml:space="preserve">Mary Douglas, Purity and Danger: An Analysis of the Concepts of Pollution and Taboo (London: Routledge, 1966); Michel Foucault, The Birth of the Clinic: An Archaeology of Medical Perception (New York: Random House, 1973); Shelley L. Tremain, Foucault and Feminist Philosophy of Disability (Ann Arbor: University of Michigan Press, 2017); Anna N. de Hooge, “Binary Boys: Autism, Aspie Supremacy and Post/Humanist Normativity,” Disability Studies Quarterly 39, no. 1 (winter 2019), https://doi.org/10.18061/dsq.v39i1 .6461.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Alexandra Kahsenniio Nahwegahbow, “Springtime in n’Daki Menan, the Homeland of the Teme-Augama Anishnabai: Babies, Cradleboards and Community Wrap ping” (master’s thesis, Carleton University, 2013), 160, https://doi.org/10.22215/etd/2013 -10668.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Anne McGuire, War on Autism: On the Cultural Logic of Normative Violence (Ann Arbor: University of Michigan Press, 2016); Jen (Gzhibaeassigaekwe) Meunier, “We Autistics, We Villages, We Humanoids,” in All the Weight of Our Dreams: On Living Racialized Autism, eds. E. Ashkenazy, Lydia X. Z. Brown, and Morénike G. Onaiwu (Lincoln, NE: DragonBee Press, 2017), 425–34; Tremain, Foucault and Feminist Philosophy of Dis ability; Melanie Yergeau, Authoring Autism (Durham, NC: Duke University Press, 2018).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Janet C. Berlo and Ruth B. Phillips, Native North American Art (Oxford: Oxford University Press, 1998); Sara Lige, “Adults with Intellectual Disabilities and the Visual Arts: ‘It’s NOT Art Therapy!’” (master’s thesis, University of British Columbia, 2000), 223, https://dx.doi.org/10.14288/1.0072346; Joyce Green, “Canaries in the Mines of Citizenship: Indian Women in Canada,” Canadian Journal of Political Science / Revue canadienne de science politique 34, no. 4 (December 2001): 715–38, https://doi.org/10.1017 /s0008423901778067; Bonita Lawrence, “Gender, Race, and the Regulation of Native Identity in Canada and the United States: An Overview,” Hypatia 18, no. 2 (spring 2003): 3–31, https://doi.org/10.1353/hyp.2003.0031; Whitney Chadwick, Women, Art, and Society (New York: Thames &amp; Hudson World of Art, 2007); Alan Sears and James Cairns, A Good Book, In Theory (Toronto: University of Toronto Press, 2013); Marion Quirici, “Geniuses without Imagination: Discourses of Autism, Ability, and Achievement,” Journal of Literary &amp; Cultural Disability Studies 9, no. 1 (January 2015): 71–88, https://doi.org/10.3828/jlcds .2015.5; Monique Mojica, “Verbing Art,” in Me Artsy, ed. Drew Hayden Taylor (Madeira Park, BC: D &amp; M, 2015), 15–28; Rabia Belt, “Contemporary Voting Rights Controversies through the Lens of Disability,” SSRN Journal 68, no. 6 (2016): 1491–550, https://doi.org /10.2139/ssrn.2780693; Meunier, “We Autistics,” 425–34; Stephan Lindner, Ruth Row land, Margaret Spurlock, Stan Dorn, and Melinda Davis, “‘Canaries in the Mine . . . ’ the Impact of Affordable Care Act Implementation on People with Disabilities: Evidence from Interviews with Disability Advocates,” Disability and Health Journal 11, no. 1 (2018): 86 92, https://doi.org/10.1016/j.dhjo.2017.04.003; de Hooge, “Binary Boys.”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Jacky Skye, 2020. I paint under the name Jacky Skye, which is a combination of my adoptive first name and the middle name my birth mom gave me. I present my work under this name because it feels more representative of who I am and because I paint about personal themes such as transracial adoption and intergenerational trauma. Painting under a different name provides a buffer between my artwork and my personal life and allows me to comment on my experiences of adoption without revealing confidential information that might be traceable if I painted under my legal last name.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Carly Beth Christensen, “Exploring Conceptions of Disability Held by Anishinaabe Secondary School Students” (PhD diss., University of Cambridge, 2019), https://doi.org /10.17863/CAM.51837, 144–46; Nicole Ineese-Nash, “Disability as a Colonial Construct: The Missing Discourse of Culture in Conceptualizations of Disabled Indigenous Children,” Canadian Journal of Disability Studies 9, no. 3 (2020): 29–30, https://doi.org /10 .15353 /cjds.v9i3.645; Kathleen E. (Minogiishigokwe) Absolon, Kaandossiwin: How We Come to Know Indigenous re-Search Methodologies (Black Point, Nova Scotia: Fernwood, 2022), 89–94.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Christensen, “Exploring Conceptions of Disability,” 147–68.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Lewis Mehl-Madrona and Gordon Pennycook, “Construction of an Aboriginal Theory of Mind and Mental Health,” Anthropology of Consciousness 20, no. 2 (fall 2009): 91–93, </w:t>
      </w:r>
      <w:r>
        <w:rPr>
          <w:rFonts w:ascii="Helvetica" w:hAnsi="Helvetica" w:cs="Helvetica"/>
          <w:sz w:val="24"/>
          <w:sz-cs w:val="24"/>
          <w:u w:val="single"/>
          <w:color w:val="467886"/>
        </w:rPr>
        <w:t xml:space="preserve">https://doi.org/10.1111/j.1556-3537.2009.01017.x</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Nahwegahbow, “Springtime in n’Daki Menan,” 3–4; Ineese-Nash, “Disability as a Colonial Construct,” 28–30.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Christensen, “Exploring Conceptions of Disability,” 367.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Mehl-Madrona and Pennycook, “Construction of an Aboriginal Theory,” 94–95.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China Mills and Brenda A. Lefrançois, “Child as Metaphor: Colonialism, Psy-Governance, and Epistemicide,” World Futures 74, no. 7–8 (2018): 504, https://doi.org/10.1080 /02604027.2018.1485438.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Chris Chapman, “Colonialism, Disability, and Possible Lives: The Residential Treatment of Children Whose Parents Survived Indian Residential Schools,” Journal of Progressive Human Services 23, no. 2 (2012): 150–53, https://doi.org/10.1080/10428232.2012 .66 6727; Mills and Lefrançois, “Child as Metaphor,” 504–6, 517.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Nahwegahbow, “Springtime in n’Daki Menan,” 160; Mills and Lefrançois, “Child as Metaphor,” 518–19; Ineese-Nash, “Disability as a Colonial Construct,” 30.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Mills and Lefrançois, “Child as Metaphor,” 518–19; Ineese-Nash, “Disability as a Colonial Construct,” 29–30.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Rebecca Mallett and Katherine Runswick-Cole, “Commodifying Autism: The Cultural Contexts of ‘Disability’ in the Academy,” in Disability and Social Theory, ed. Dan Goodley (Houndmills: Palgrave Macmillan, 2012), 33–51; McGuire, War on Autism, 126; Allison C. Carey, Pamela Block, and Richard K. Scotch, “Sometimes Allies: Parent-Led Disability Organizations and Social Movements,” Disability Studies Quarterly 39, no. 1 (winter 2019), https://doi.org/10.18061/dsq.v39i1.6281; Ahoo Tabatabai, “Mother of a Per son: Neoliberalism and Narratives of Parenting Children with Disabilities,” Disability and Society 35, no. 1 (2020): 111–31, </w:t>
      </w:r>
      <w:r>
        <w:rPr>
          <w:rFonts w:ascii="Helvetica" w:hAnsi="Helvetica" w:cs="Helvetica"/>
          <w:sz w:val="24"/>
          <w:sz-cs w:val="24"/>
          <w:u w:val="single"/>
          <w:color w:val="467886"/>
        </w:rPr>
        <w:t xml:space="preserve">https://doi.org/10.1080/09687599.2019.1621739</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20.</w:t>
        <w:tab/>
        <w:t xml:space="preserve">Elisabeth Graham, The Mush Hole: Life at Two Indian Residential Schools (Water loo, Ontario: Heffle, 1997); Anthony J. Hall, “A National or International Crime? Canada’s Indian Residential Schools and the Genocide Convention,” Genocide Studies International 12, no. 1 (Spring 2018): 72–91, https://doi.org/10.3138/gsi.12.1.05; Mills and Lefran çois, “Child as Metaphor,” 516–19; Christensen, “Exploring Conceptions of Disability</w:t>
      </w:r>
      <w:r>
        <w:rPr>
          <w:rFonts w:ascii="Times New Roman" w:hAnsi="Times New Roman" w:cs="Times New Roman"/>
          <w:sz w:val="24"/>
          <w:sz-cs w:val="24"/>
        </w:rPr>
        <w:t xml:space="preserve">,</w:t>
      </w:r>
      <w:r>
        <w:rPr>
          <w:rFonts w:ascii="Helvetica" w:hAnsi="Helvetica" w:cs="Helvetica"/>
          <w:sz w:val="24"/>
          <w:sz-cs w:val="24"/>
        </w:rPr>
        <w:t xml:space="preserve">” 367; Allyson D. Stevenson, Intimate Integration: A History of the Sixties Scoop and the Colonization of Indigenous Kinship (Toronto: University of Toronto Press, 2020).</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Absolon, Kaandossiwin, 89–90.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Indian Act, Revised Statutes of Canada 1985, c I-5, https://www.sac-isc.gc.ca/eng /1100100010252/1618940680392.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Hall, “A National or International Crime?” 72–91; Mills and Lefrançois, “Child as Metaphor,” 518; Ineese-Nash, “Disability as a Colonial Construct,” 32–35.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Graham, The Mush Hole.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Madeline H. Engel, Norma Kolko Phillips, and Frances A. DellaCava, “Indigenous Children’s Rights: A Sociological Perspective on Boarding Schools and Transracial Adoption,” International Journal of Children’s Rights 20 (2012): 287–93, https://doi.org/10 .1163 /157181811X612873; Angela Tucker and Emily N. Bartz, “An Interview with Angela Tucker,” Adoption &amp; Culture 9, no. 1 (2021): 79, 81, https://doi.org/10.1353/ado.2021.0007; Grace Newton, “The Trauma and Healing of Consciousness,” Child Abuse &amp; Neglect 130, no. 2 (August 2022): 105563, </w:t>
      </w:r>
      <w:r>
        <w:rPr>
          <w:rFonts w:ascii="Helvetica" w:hAnsi="Helvetica" w:cs="Helvetica"/>
          <w:sz w:val="24"/>
          <w:sz-cs w:val="24"/>
          <w:u w:val="single"/>
          <w:color w:val="467886"/>
        </w:rPr>
        <w:t xml:space="preserve">https://doi.org/10.1016/j.chiabu.2022.105563</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26.</w:t>
        <w:tab/>
        <w:t xml:space="preserve">Department of Indian Affairs, Thomas Moore before and after Admission to Regina Indian Industrial School, 1987, Saskatchewan Archives Board, Regina, https://www .researchgate.net/figure/Thomas-Moore-Before-Picture-Thomas-Moore-before-and-after -admission-to-Regina-Indian_fig1_347811217.</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Kathleen Heart-Ellis, Wildflowers from Byron, n.d., London, Ontario.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Chapman, “Colonialism, Disability, and Possible Lives,” 140.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Chapman, “Colonialism, Disability, and Possible Lives,” 140–42; Meunier, “We Autistics,” 425–34; Mills and Lefrançois, “Child as Metaphor,” 503–24; de Hooge, “Bi nary Boys”; Caleigh E. Inman, “Absence and Epidemic: Autism and Fetal Alcohol Spectrum Disorder in Indigenous Populations in Canada,” Canadian Journal of Disability Studies 8, no. 4 (2019): 227–61, https://doi.org/10.15353/cjds.v8i4.531; Ineese-Nash, “Dis ability as a Colonial Construct,” 29–51.</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Ineese-Nash, “Disability as a Colonial Construct,” 29–30.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Inman, “Absence and Epidemic,” 227–61.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Meunier, “We Autistics,” 425–34.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Basil Johnston, Th!nk Indian: Languages Are beyond Price (Wiarton, Ontario: Kegedonce Press, 2011), 24–33, 46–53, 168–76.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Suzanne Crawford, “(Re)Constructing Bodies: Semiotic Sovereignty and the De bate over Kennewik Man,” in Repatriation Reader: Who Owns American Indian Remains?, ed. Devon Abbott Mihesuah (Lincoln: University of Nebraska Press, 2000), 211–30; Lawrence, “Gender, Race, and the Regulation of Native Identity in Canada and the United States,” 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Ineese-Nash, “Disability as a Colonial Construct,” 29–31.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Jaclyn (Manidoomakwakwe) Ellis, “Imagining Neurodivergent Futures from the Belly of the Identity Machine: Neurodiversity, Biosociality, and Strategic Essentialism,” Autism in Adulthood 5, no. 3 (September 2023): 225–35, https://doi.org/10.1089/aut.2021 .0075.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Joanna Ziarkowska, “From Blood Memory to Genetic Memory, and the Emergence of Native American DNA: A Story of Biocolonialism at the Turn of the Millennium,” in Indigenous Bodies, Cells, and Genes (London: Routledge, 2020), 133–55.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Jennifer Natalya Fink, All Our Families: Disability Lineage and the Future of Kin ship (Boston: Beacon Press,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Shannon Gibney and Kimberly D. McKee, “An Interview with Shannon Gibney and Kimberly D. McKee,” Adoption &amp; Culture 9, no. 1 (2021): 24–33, https://doi.org/10 .1353/ado.2021.0002.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Tucker and Bartz, “An Interview with Angela Tucker,” 74–83; Gibney and McKee, “An Interview,” 24–33; Newton, “The Trauma and Healing of Consciousness,” 105563.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Chapman, “Colonialism, Disability, and Possible Lives,” 132–34.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Tucker and Bartz, “An Interview with Angela Tucker,” 74–83; Gina E. Miranda Samuels, “Epistemic Trauma and Transracial Adoption: Author(iz)ing Folkways of Knowledge and Healing,” Child Abuse &amp; Neglect 130, no. 2 (August 2022): 105588, https://doi .org/10.1016/j.chiabu.2022.105588; Newton, “The Trauma and Healing of Conscious ness,” 105563</w:t>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4: Empathy Deficits among Neurotypicals</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bell hooks, Black Looks: Race and Representation (New York: Routledge, 2015).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Jim Sinclair, “Self-Narrating Zoo Exhibit,” Everything2, December 20, 2002, https:// www.everything2.com/index.pl?node_id=1404508.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In this paper, I use “nonautistic” and “neurotypical” intentionally. I choose to emphasize neurotype or lack of autism.</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Simon Baron-Cohen, “Autism: The Empathizing–Systemizing (E-S) Theory,” Annals of the New York Academy of Sciences 1156, no. 1 (March 2009): 68–80, https://doi.org /10.1111/j.1749-6632.2009.04467.x.</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Sara H. Konrath, Edward H. O’Brien, and Courtney Hsing, “Changes in Dispositional Empathy in American College Students over Time: A Meta-analysis,” Personality and Social Psychology Review 15, no. 2 (May 2011): 180–98, https://doi.org/10 .1177 /108 8 868310377395.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Alexander G. Weheliye, Habeas Viscus: Racializing Assemblages, Biopolitics, and Black Feminist Theories of the Human (Durham, NC: Duke University Press, 2014).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Damian E. M. Milton, “On the Ontological Status of Autism: The ‘Double Empathy Problem,’” Disability &amp; Society 27, no. 6 (October 2012): 883–87, https://doi.org/10.1080/09 687599.2012.710008.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Bridget Liang, “Divided Communities and Absent Voices: The Search for Autistic BIPOC Parent Blogs,” Studies in Social Justice 16, no. 2 (March 11, 2022): 447–69, https:// doi.org/10.26522/ssj.v16i2.3407.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American Psychiatric Association, Diagnostic and Statistical Manual of Mental Dis orders 5th edition (Arlington: American Psychiatric Association, 2013).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Thin Nguyen, Thi Duong, Svetha Venkatesh, and Dinh Phung, “Autism Blogs: Expressed Emotion, Language Styles and Concerns in Personal and Community Settings,” IEEE Transactions on Affective Computing 6, no. 3 (July–September 2015): 312–23, https:// doi.org/10.1109/TAFFC.2015.2400912.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“About Autism,” Autistic Self Advocacy Network, accessed December 12, 2023, </w:t>
      </w:r>
      <w:r>
        <w:rPr>
          <w:rFonts w:ascii="Helvetica" w:hAnsi="Helvetica" w:cs="Helvetica"/>
          <w:sz w:val="24"/>
          <w:sz-cs w:val="24"/>
          <w:u w:val="single"/>
          <w:color w:val="467886"/>
        </w:rPr>
        <w:t xml:space="preserve">https://autisticadvocacy.org/about-asan/about-autism/</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Allison C. Carey, Pamela Block, and Richard K. Scotch, Allies and Obstacles: Dis ability Activism and Parents of Children with Disabilities (Philadelphia: Temple University Press, 2020).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Julie Leask, A. Leask, and Natalie Silove, “Evidence for Autism in Folklore?” Archives of Disease in Childhood 90, no. 3 (March 2005): 271, https://doi.org/10.1136/adc .2003.044958.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Ian Hacking, “Humans, Aliens &amp; Qutism,” Daedalus 138, no. 3 (Summer 2009): 44–59, </w:t>
      </w:r>
      <w:r>
        <w:rPr>
          <w:rFonts w:ascii="Helvetica" w:hAnsi="Helvetica" w:cs="Helvetica"/>
          <w:sz w:val="24"/>
          <w:sz-cs w:val="24"/>
          <w:u w:val="single"/>
          <w:color w:val="467886"/>
        </w:rPr>
        <w:t xml:space="preserve">https://doi.org/10.1162/daed.2009.138.3.44</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Patricia Ranft, “Ruminations on Hildegard of Bingen (1098–1179) and Autism,” Journal of Medical Biography 22, no. 2 (May 2014): 107–15, https://doi.org/10 .1177 /09 67 772013479283.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Bonnie Evans, “How Autism Became Autism: The Radical Transformation of a Central Concept of Child Development in Britain,” History of Human Sciences 26, no. 3 (July 2013): 3–31, </w:t>
      </w:r>
      <w:r>
        <w:rPr>
          <w:rFonts w:ascii="Helvetica" w:hAnsi="Helvetica" w:cs="Helvetica"/>
          <w:sz w:val="24"/>
          <w:sz-cs w:val="24"/>
          <w:u w:val="single"/>
          <w:color w:val="467886"/>
        </w:rPr>
        <w:t xml:space="preserve">https://doi.org/10.1177/0952695113484320</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Marina Heifetz, “Autism Spectrum Disorder (ASD) in Canada,” Canadian Encyclopaedia, June 4, 2018, https://www.thecanadianencyclopedia.ca/en/article/autism-spectrum-disorder-asd-in-canada.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Bruno Bettelheim, Empty Fortress: Infantile Autism and the Birth of the Self (Glencoe: Free Press, 1967).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Carey, Block, and Scotch, Allies and Obstacles; Steven K. Kapp, ed., Autistic Community and the Neurodiversity Movement Stories from the Frontline (London: Palgrave Macmillan, 2020); Anne McGuire, War on Autism: On the Cultural Logic of Normative Violence (Ann Arbor: University of Michigan Press, 2016).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Simon Baron-Cohen, Mind-Blindness: An Essay on Autism and Theory of Mind (Cambridge: MIT Press, 1995). In the first chapter of his book, he writes in depth about mind-blindness and how he cannot fathom what it is like to be mind-blind. But he does not follow this point up by asking if/how autistic people experience mind-blindness.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Simon Baron-Cohen, “Autism: A Specific Cognitive Disorder of ‘Mind-Blindness,’” International Review of Psychiatry 2, no. 1 (1990): 81–90, https://doi.org/10.3109 /095 40 269009028274. This is the definition Baron-Cohen refers to in his book on mind-blind ness. Since his definition is not very clear, I had to resort to the APA dictionary to get a more accurate definition of his own word.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“Mindblindness,” APA Dictionary of Psychology, American Psychological Association, n.d., accessed December 16, 2023, </w:t>
      </w:r>
      <w:r>
        <w:rPr>
          <w:rFonts w:ascii="Helvetica" w:hAnsi="Helvetica" w:cs="Helvetica"/>
          <w:sz w:val="24"/>
          <w:sz-cs w:val="24"/>
          <w:u w:val="single"/>
          <w:color w:val="467886"/>
        </w:rPr>
        <w:t xml:space="preserve">https://dictionary.apa.org/mindblindness</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23.</w:t>
        <w:tab/>
        <w:t xml:space="preserve">McGuire, War on Autism; Milton “On the Ontological Status of Autism,” 883–87; Christie Welch, Deb Cameron, Margaret Fitch, and Helene Polatajko, “From ‘Since’ to ‘If’: Using Blogs to Explore an Insider-Informed Framing of Autism,” Disability &amp; Society 37, no. 4 (2022): 638–61, https://doi.org/10.1080/09687599.2020.1836479; Melanie Remi Yergeau, Authoring Autism: On Rhetoric and Neurological Queerness (Durham, NC: Duke University Press, 2017).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Beth A. Haller, Representing Disability in an Ableist World: Essays on Mass Media (Haller: Avocado Press, 2010); 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Bettelheim, Empty Fortress; Ellen Herman, “The Autism History Project,” Autism History Project, 2019, </w:t>
      </w:r>
      <w:r>
        <w:rPr>
          <w:rFonts w:ascii="Helvetica" w:hAnsi="Helvetica" w:cs="Helvetica"/>
          <w:sz w:val="24"/>
          <w:sz-cs w:val="24"/>
          <w:u w:val="single"/>
          <w:color w:val="467886"/>
        </w:rPr>
        <w:t xml:space="preserve">https://blogs.uoregon.edu/autismhistoryproject/</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Amit Saha and Nitin Agarwal, “Modeling Social Support in Autism Community on Social Media,” Network Modeling Analysis in Health Informatics and Bioinformatics 5, no. 8 (2016), </w:t>
      </w:r>
      <w:r>
        <w:rPr>
          <w:rFonts w:ascii="Helvetica" w:hAnsi="Helvetica" w:cs="Helvetica"/>
          <w:sz w:val="24"/>
          <w:sz-cs w:val="24"/>
          <w:u w:val="single"/>
          <w:color w:val="467886"/>
        </w:rPr>
        <w:t xml:space="preserve">https://doi.org/10.1007/s13721-016-0115-8</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Carey, Block, and Scotch, Allies and Obstacles.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Anne B. King, “Submission to the CAHS Autism Assessment Panel,” Autistic s4Autistics Ontario, May 20, 2021, https://a4aontario.com/wp-content/uploads /2021 /05 /2021_CAHS_Campaign_Against-Phony_Autism_Cures.pdf; “Treatments That Are Not Recommended for Autism,” National Health Service, accessed December 16, 2023, https:// www.nhs.uk/conditions/autism/autism-and-everyday-life/treatments-that-are-not-recommended-for-autism/; 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Carey, Block, and Scotch, Allies and Obstacles; Eric Garcia, “I’m Not Broken: What This Washington Reporter with Autism Wants You to Understand,” The Atlantic, December 4, 2015, https://www.theatlantic.com/politics/archive/2015/12/im-not-broken /44 6550/; 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“1963. First NAS Logo Developed,” National Autistic Society, n.d., accessed December 16, 2023, http://www.tiki-toki.com/timeline/entry/21729/Our-story-so-far/# vars !panel=193670.</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Carey, Block, and Scotch, Allies and Obstacles.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 36. 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Kapp, Autistic Community; McGuire,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Carey, Block, and Scotch, Allies and Obstacles; Kapp, Autistic Community; Mc Guire, War on Autism.</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Carey, Block, and Scotch, Allies and Obstacles; Kapp, Autistic Community; Mc Guire, War on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Cara Liebowitz, “Here’s What Neurodiversity Is—And What It Means for Feminism,” Everyday Feminism, March 4, 2016, https://everydayfeminism.com/2016/03/neu rodiversity-101/.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Kassiane Asasumasu, “Radical Neurodivergence Speaking,” Radical Neurodivergence Speaking (blog), </w:t>
      </w:r>
      <w:r>
        <w:rPr>
          <w:rFonts w:ascii="Helvetica" w:hAnsi="Helvetica" w:cs="Helvetica"/>
          <w:sz w:val="24"/>
          <w:sz-cs w:val="24"/>
          <w:u w:val="single"/>
          <w:color w:val="467886"/>
        </w:rPr>
        <w:t xml:space="preserve">https://timetolisten.blogspot.com/</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Kapp, Autistic Community.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43.</w:t>
        <w:tab/>
        <w:t xml:space="preserve">Susan Abel, Tanya Machin, and Charlotte Brownlow, “Support, Socialise and Advocate: An Exploration of the Stated Purposes of Facebook Autism Groups,” Research in Autism Spectrum Disorders 61 (May 2019): 10–21; Carey, Block, and Scotch, Allies and Obstacles; Kapp, Autistic Community; McGuire, War on Autism; Welch, Cameron, Fitch, and Polatajko, “From ‘Since’ to ‘If,’” 638–61.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44.</w:t>
        <w:tab/>
        <w:t xml:space="preserve">“#StoptheShock,” Autistic Self Advocacy Network, 2023, https://autisticadvocacy .org/stoptheshock/.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45.</w:t>
        <w:tab/>
        <w:t xml:space="preserve">Aileen Herlinda Sandoval-Norton, Gary Shkedy, and Dalia Shkedy, “How Much Compliance Is Too Much Compliance: Is Long-Term ABA Therapy Abuse?” Cogent Psychology 6, no. 1 (2019): 1–8, https://doi.org/10.1080/23311908.2019.1641258; Owen Mc Gill and Anna Robinson, “‘Recalling Hidden Harms’: Autistic Experiences of Childhood Applied Behavioural Analysis (ABA),” Advances in Autism 7, no. 4 (October 2021): 269 82, </w:t>
      </w:r>
      <w:r>
        <w:rPr>
          <w:rFonts w:ascii="Helvetica" w:hAnsi="Helvetica" w:cs="Helvetica"/>
          <w:sz w:val="24"/>
          <w:sz-cs w:val="24"/>
          <w:u w:val="single"/>
          <w:color w:val="467886"/>
        </w:rPr>
        <w:t xml:space="preserve">https://doi.org/10.1108/AIA-04-2020-0025</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46.</w:t>
        <w:tab/>
        <w:t xml:space="preserve">Canadian Press, “Parents of Children with Autism Skeptical of Ford Funding Promise,” CTV News, June 6, 208, https://www.ctvnews.ca/canada/parents-of-children-with -autism-skeptical-of-ford-funding-promise-1.3961832.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47.</w:t>
        <w:tab/>
        <w:t xml:space="preserve">Julia Gruson-Wood, “‘I’m a Juggling Robot’: An Ethnography of the Organization and Culture of Autism-Based Applied Behaviour Therapies in Ontario, Canada” (PhD diss., York University, 2018), 220,https://yorkspace.library.yorku.ca/xmlui/bitstream/handle /10315/35587/Gruson-Wood_Julia_F_2018_PhD.pdf; McGuire, War on Autism; Jake Pyne, “‘Building a Person’: Legal and Clinical Personhood for Autistic and Trans Children in Ontario,” Canadian Journal of Law and Society / Revue Canadienne Droit Et Société 35, no. 2 (August 2020): 341–65, https://doi.org/10.1017/cls.2020.8; Yergeau, Authoring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48.</w:t>
        <w:tab/>
        <w:t xml:space="preserve"> Bill C-4, An Act to Amend the Criminal Code (Conversion Therapy), 1st session, 44th Parliament (2021), https://www.parl.ca/DocumentViewer/en/44-1/bill/C-4/royal -assent.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49.</w:t>
        <w:tab/>
        <w:t xml:space="preserve">Pyne, “Building a Person,” 341–65.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50.</w:t>
        <w:tab/>
        <w:t xml:space="preserve">King, “Submission to the CAHS Autism Assessment Panel.”</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51.</w:t>
        <w:tab/>
        <w:t xml:space="preserve">Julia Bascom, Loud Hands: Autistic People, Speaking (Washington: Autistic Press, 2012); John Elder Robinson, Look Me in the Eye: My Life with Asperger’s (New York: Random House, 2017).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52.</w:t>
        <w:tab/>
        <w:t xml:space="preserve">Carey, Block, and Scotch, Allies and Obstacles; McGuire, War on Autism; Welch, Cameron, Fitch, and Polatajko, “From ‘Since’ to ‘If,’” 638–61; Yergeau, Authoring Autism.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53.</w:t>
        <w:tab/>
        <w:t xml:space="preserve">Chris Bonello, “11,521 People Answered This Autism Survey. Warning: The Results May Challenge You,” Autistic Not Weird, October 1, 2018, https://autisticnotweird .com/2018survey/.</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54.</w:t>
        <w:tab/>
        <w:t xml:space="preserve">UN Women, “Bodily Autonomy, a Fundamental Right, Remains Elusive for Mil lions of Women and Girls in Asia-Pacific and Globally,” UN Women Asia and the Pacific, May 20, 2021, https://asiapacific.unwomen.org/en/news-and-events/stories /2021 /05 /bodily-autonomy.</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55.</w:t>
        <w:tab/>
        <w:t xml:space="preserve">Office for Human Research Protections, The Belmont Report: Ethical Principles and Guidelines for the Protection of Human Subjects of Research (Washington, DC: U.S. Government Printing Office, 1979).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56.</w:t>
        <w:tab/>
        <w:t xml:space="preserve">Stephanie Patterson and Pamela Block, “Disability Vulnerability and Capacity to Consent,” in Research Involving Participants with Impaired Cognition: Ethics, Autonomy, Inclusion, and Innovation, ed. Ariel Cascio and Eric Racine (Oxford: Oxford University Press, 2019), 67–76.</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57.</w:t>
        <w:tab/>
        <w:t xml:space="preserve">Melinda McCormick, “Feminist Research Ethics, Informed Consent, and Potential Harms,” Hilltop Review 6, no. 1 (2012): 23–33, https://scholarworks.wmich.edu/hilltop review/vol6/iss1/5.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58.</w:t>
        <w:tab/>
        <w:t xml:space="preserve">Leah Hendry, “Hidden Camera Reveals ABA Therapist Interacting ‘Roughly’ with Autistic 4-Year-Old Boy,” CBC News, May 25, 2016, https://www.cbc.ca/news/canada /montreal/aba-therapy-hidden-camera-1.3597575.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59.</w:t>
        <w:tab/>
        <w:t xml:space="preserve">United Nations, “Convention on the Rights of the Child,” OHCHR, November 20, 1989,https://www.ohchr.org/en/instruments-mechanisms/instruments/convention-rights -child.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60.</w:t>
        <w:tab/>
        <w:t xml:space="preserve">“It’s the Straight-Up Caucacity for Us,” ON Canada Project, n.d., accessed December 16, 2023, </w:t>
      </w:r>
      <w:r>
        <w:rPr>
          <w:rFonts w:ascii="Helvetica" w:hAnsi="Helvetica" w:cs="Helvetica"/>
          <w:sz w:val="24"/>
          <w:sz-cs w:val="24"/>
          <w:u w:val="single"/>
          <w:color w:val="467886"/>
        </w:rPr>
        <w:t xml:space="preserve">https://oncanadaproject.ca/blog/2qx21ira2iy79cxigc2bc1rfid9rvs</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61.</w:t>
        <w:tab/>
        <w:t xml:space="preserve">Amy Sequenzia, “Parenting and Advocating with Autistic Children,” Autistic Women and Nonbinary Network, November 20, 2017, https://awnnetwork.org/parenting -advocating-autistic-children/.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62.</w:t>
        <w:tab/>
        <w:t xml:space="preserve">“Functioning Labels Harm Autistic People,” Autistic Self Advocacy Network, December 9, 2021, https://autisticadvocacy.org/2021/12/functioning-labels-harm-autistic -people/.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63.</w:t>
        <w:tab/>
        <w:t xml:space="preserve">Annelou L. C. de Vries et al., “Autism Spectrum Disorders in Gender Dysphoric Children and Adolescents,” Journal of Autism and Developmental Disorders 40, no. 8 (January 22, 2010): 930–36, https://doi.org/10.1007/s10803-010-0935-9.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64.</w:t>
        <w:tab/>
        <w:t xml:space="preserve">Sarah Pripas-Kapit, “Historicizing Jim Sinclair’s ‘Don’t Mourn for Us’: A Cultural and Intellectual History of Neurodiversity’s First Manifesto,” in Autistic Community and the Neurodiversity Movement, ed. Steven K. Kapp (Singapore: Palgrave Macmillan, 2020), 23–39</w:t>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5: Black Deaf Ordinary Who Deliberately Signs</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“Historical Population Data. Barbados Population 1950–2923,” Macrotrends, n.d., accessed December 17, 2023, https://www.macrotrends.net/countries/BRB/barbados /population.</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Sue Schwartz, Choices in Deafness: A Parent’s Guide to Communication Options (Bethesda, MD: Woodbine House, 1996).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“Deaf in Barbados,” Joshua Project, 2023, https://joshuaproject.net/people_groups /19007/BB.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 “Media Centre,” Barbados Council for the Disabled, 2023, http://barbadosdisabled .org.bb/media-centre/.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Clifton F. Carbin, Deaf Heritage in Canada: A Distinctive, Diverse, and Enduring Culture (Toronto: McGraw-Hill Ryerson, 1996).</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Ontario Education Act, 1990, § 298: Operation of schools—general.</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Jenelle Rouse, “Exploring the Acquisition of American Sign Language by Deaf Kindergarten Children: Early Language Access and the Use of Appropriate Resource” (PhD dissertation, University of Western Ontario, 2020), 172, </w:t>
      </w:r>
      <w:r>
        <w:rPr>
          <w:rFonts w:ascii="Helvetica" w:hAnsi="Helvetica" w:cs="Helvetica"/>
          <w:sz w:val="24"/>
          <w:sz-cs w:val="24"/>
          <w:u w:val="single"/>
          <w:color w:val="467886"/>
        </w:rPr>
        <w:t xml:space="preserve">https://ir.lib.uwo.ca/etd/7184</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Tom Humphries, “Communicating Across Cultures (Deaf/Hearing) and Language Learning” (PhD dissertation, Union Graduate School, 1977), 108, ProQuest Dissertations &amp; Theses Global.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Rouse, “Exploring the Acquisition,” 172.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Jenelle Rouse, Amelia Palmer, and Amy Parsons, “Reconstruct(ing) a Hidden History: Black Deaf Canadian Relat(ing) Identity,” Social Sciences 12, no. 5, (May 17, 2023): 305, https://doi.org/10.3390/socsci12050305</w:t>
      </w:r>
      <w:r>
        <w:rPr>
          <w:rFonts w:ascii="Times New Roman" w:hAnsi="Times New Roman" w:cs="Times New Roman"/>
          <w:sz w:val="24"/>
          <w:sz-cs w:val="24"/>
        </w:rPr>
        <w:t xml:space="preserve">.</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“Ontarians with Disabilities Legislation,” ODA Committee, November 23, 1999, </w:t>
      </w:r>
      <w:r>
        <w:rPr>
          <w:rFonts w:ascii="Helvetica" w:hAnsi="Helvetica" w:cs="Helvetica"/>
          <w:sz w:val="24"/>
          <w:sz-cs w:val="24"/>
          <w:u w:val="single"/>
          <w:color w:val="467886"/>
        </w:rPr>
        <w:t xml:space="preserve">http://www.odacommittee.net/hansard39.html</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Stephen E. Anderson and Ben J. Sonia, “Policy Trends in Ontario Education 1990 2003,” ICEC Working Paper, University of Toronto, September 2003, http://fcis.oise.uto ronto.ca/~icec/policytrends.pdf.</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Statistics Canada, “Population Estimates, Quarterly,” Government of Canada, ac cessed December 17, 2023, </w:t>
      </w:r>
      <w:r>
        <w:rPr>
          <w:rFonts w:ascii="Helvetica" w:hAnsi="Helvetica" w:cs="Helvetica"/>
          <w:sz w:val="24"/>
          <w:sz-cs w:val="24"/>
          <w:u w:val="single"/>
          <w:color w:val="467886"/>
        </w:rPr>
        <w:t xml:space="preserve">https://doi.org/10.25318/1710000901-ENG</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Statistics Canada, “Measuring Disability in Canada,” Government of Canada, December 2, 2022, https://www150.statcan.gc.ca/n1/pub/11-627-m/11-627-m2022062-eng .htm</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6: Intersections of Deafness, Blindness, Deafblindness, and Gender: The Deaf Community, Blindness, and Deafblind Activism in Families</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Image Descriptions</w:t>
      </w:r>
      <w:r>
        <w:rPr>
          <w:rFonts w:ascii="Times New Roman" w:hAnsi="Times New Roman" w:cs="Times New Roman"/>
          <w:sz w:val="28"/>
          <w:sz-cs w:val="28"/>
          <w:b/>
          <w:i/>
        </w:rPr>
        <w:t xml:space="preserve"/>
      </w:r>
    </w:p>
    <w:p>
      <w:pPr>
        <w:spacing w:before="240" w:after="60"/>
      </w:pPr>
      <w:r>
        <w:rPr>
          <w:rFonts w:ascii="Helvetica" w:hAnsi="Helvetica" w:cs="Helvetica"/>
          <w:sz w:val="26"/>
          <w:sz-cs w:val="26"/>
          <w:b/>
        </w:rPr>
        <w:t xml:space="preserve">Table 6.1 </w:t>
      </w:r>
    </w:p>
    <w:p>
      <w:pPr>
        <w:spacing w:after="160"/>
      </w:pPr>
      <w:r>
        <w:rPr>
          <w:rFonts w:ascii="Helvetica" w:hAnsi="Helvetica" w:cs="Helvetica"/>
          <w:sz w:val="24"/>
          <w:sz-cs w:val="24"/>
        </w:rPr>
        <w:t xml:space="preserve">Page # : 93</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 Table 6.1 lists the memoirs of five books written by women who are Deafblind: Helen Keller, Ruth Silver, Rebecca Alexander, Haben Girma, Elsa Sjunneson.</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Table 6.1 lists the memoirs written by women who are Deafblind. The first book listed is “The Story of My Life,” by Helen Keller and it was published in 1902. The second book, “Invisible: My Journey through Vision and Hearing Loss,” is written by Ruth Silver and was published in 2012. The third book, “Not Fade Away: A Memoir of Senses Lost and Found,” is written by Rebecca Alexander and was published in 2014. The fourth book entitled, “Haben: The Deafblind Woman Who Conquered Harvard Law,” was written by Haben Girma and published in 2019. The last book is entitled, “Being Seen: One Deafblind Woman's Fight to End Abelism.” It is written by Elsa Sjunneson and was published in 2021.</w:t>
      </w:r>
      <w:r>
        <w:rPr>
          <w:rFonts w:ascii="Times New Roman" w:hAnsi="Times New Roman" w:cs="Times New Roman"/>
          <w:sz w:val="24"/>
          <w:sz-cs w:val="24"/>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See Laura Mauldin, Made to Hear: Cochlear Implants and Raising Deaf Children (Minneapolis: University of Minnesota Press, 2016); Allison C. Carey, Pamela Block, and Richard K. Scotch, Allies and Obstacles: Parents of Children with Disabilities and Disability Rights (Philadelphia: Temple University Press, 2020); Linda M. Blum, “Mother-Blame in the Prozac Nation: Raising Kids with Invisible Disabilities,” Gender &amp; Society 21, no.2 (2007): 202–26; Melanie Panitch, Disability, Mothers, and Organization (New York: Rout ledge, 2007).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Robert Bogdan, Freak Show: Presenting Human Oddities for Amusement and Profit (Chicago: University of Chicago Press, 1988); Robert Bogdan and Douglas Biklen, “Handicapism,” Social Policy 7, no. 5 (1977): 14–19; Robert Bogdan and Steven J. Taylor, The Social Meaning of Mental Retardation: Two Life Stories (New York: Teachers College Press, 1994); Simi Linton, Claiming Disability: Knowledge and Identity (New York: New York University Press, 1998).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Linton, Claiming Disability, 118.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Tobin Siebers, Disability Theory (Ann Arbor: University of Michigan Press, 2008); Carol Thomas, Sociologies of Disability and Illness: Contested Ideas in Disability Studies and Medical Sociology (London: Red Globe Press, 2007); Rosemarie Garland-Thomson, Extraordinary Bodies: Figuring Physical Disability in American Culture and Literature (New York: Columbia University Press, 1997); Susan Wendell, The Rejected Body: Feminist Philosophical Reflections on Disability (New York: Routledge, 1996).</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Carol A. Padden and Tom Humphries, Deaf in America: Voices from a Culture (Cam bridge: Harvard University Press, 1988).</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Harlan Lane, The Mask of Benevolence: Disabling the Deaf Community (San Diego: DawnSign Press, 1999); Padden and Humphries, Deaf in America; Joseph P. Shapiro, “The Deaf Celebration of Separate Culture,” in No Pity: People with Disabilities Forging a New Civil Rights Movement, ed. Joseph P. Shapiro (New York: Three Rivers Press, 1996), 74–104.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Hilde Haualand, Arne Grønningsæter, and Inger Lise Skog Hansen, “Uniting Divided Worlds: A Study of Deaf and Hard of Hearing Youth,” Fafo report 412 (February 11, 2003), </w:t>
      </w:r>
      <w:r>
        <w:rPr>
          <w:rFonts w:ascii="Helvetica" w:hAnsi="Helvetica" w:cs="Helvetica"/>
          <w:sz w:val="24"/>
          <w:sz-cs w:val="24"/>
          <w:u w:val="single"/>
          <w:color w:val="467886"/>
        </w:rPr>
        <w:t xml:space="preserve">https://www.fafo.no/media/com_netsukii/412.pdf</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Jan-Kåre Breivik, Deaf Identities in the Making: Local Lives, Transnational Connections (Washington, DC: Gallaudet University Press, 2005).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Cheryl Najarian Souza, “Deaf Mothers: Communication, Activism, and the Family,” Disability Studies Quarterly 30, no. 3/4 (2010a), https://doi.org/10.18061/dsq.v30i3 /4 .1276; Cheryl Najarian Souza, “Deaf Women’s Work Experiences: Negotiating Gender, Ability, and Theories of Resistance,” Research in Social Science and Disability: Disability as a Fluid State 5 (2010b): 231–52; Cheryl Najarian, “Deaf Women: Educational Experiences and Self-Identity,” Disability &amp; Society 23, no. 2 (2008): 117–28; Cheryl Najarian, “Deaf Mothers, Maternal Thinking, and Intersections of Gender and Ability,” Scandinavian Journal of Disability Research 8, no. 2–3 (2006a): 99–119; Cheryl Najarian, “Be tween Worlds”: Deaf Women, Work, and Intersections of Gender and Ability (New York: Routledge, 2006b).</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Mauldin, Made to Hear.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Laura Mauldin and Tara Fannon, “The Sociology of Deafness: A Literature Re view of the Disciplinary History,” in Sociology Looking at Disability: What Did We Know and When Did We Know It, Research in Social Science and Disability, ed. Sara E. Green and Sharon N. Barnartt (Leeds: Emerald Group, 2016), 9:193–225.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See A. J. Withers, Liat Ben-Moshe, Lydia X. Z. Brown, Loree Erickson, Rachel da Silva Gorman, Talila A. Lewis, Lateef McLeod, and Mia Mingus, “Radical Disability Politics,” in Routledge Handbook of Radical Politics, ed. Ruth Kinna and Uri Gordon (New York: Routledge, 2019), 178–93.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See Kimberlé Crenshaw, “Mapping the Margins: Intersectionality, Identity Politics, and Violence against Women of Color,” Stanford Law Review 43, no. 6 (1991): 1241–99.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Angela Frederick and Dara Shifrer, “Race and Disability: From Analogy to Intersectionality,” Sociology of Race and Ethnicity 5, no. 2 (2018): 200–14.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J. Elton Moore, “Impact of Family Attitudes toward Blindness/Visual Impairment on the Rehabilitation Process,” Journal of Visual Impairment and Blindness 78, no. 3 (1984): 100–106.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Georgina Kleege, “Blindness and Visual Culture: An Eyewitness Account,” in The Disability Studies Reader, 5th ed., ed. Lennard J. Davis (New York: Routledge, 2017), 440–49.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Rod Michalko, The Two in One: Walking with Smokie, Walking with Blindness (Philadelphia: Temple University Press, 1998); Rod Michalko, The Difference That Disability Makes (Philadelphia: Temple University Press, 2002).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Michalko, The Difference That Disability Makes.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Angela Frederick, “Risky Mothers and the Normalcy Project: Women with Dis abilities Negotiate Scientific Motherhood,” Gender &amp; Society 31, no. 1 (2017): 74–95.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Tara A. Fannon, “Out of Sight, Still in Mind: Visually Impaired Women’s Embodied Accounts of Ideal Femininity,” Disability Studies Quarterly 36, no. 1 (2016), https:// doi.org/10.18061/dsq.v36i1.4326.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David Goode, A World without Words: The Social Construction of Children Born Deaf and Blind (Philadelphia: Temple University Press, 2010).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Scott M. Stoffel, ed., Deaf-Blind Reality: Living the Life (Washington, DC: Gallaudet University Press, 2012).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Azadeh Emadi, “The Magic of Touch: How Deafblind People Taught Us to ‘See’ the World Differently during COVID,” The Conversation, October 10, 2022, https://the conversation.com/the-magic-of-touch-how-deafblind-people-taught-us-to-see-the-world -differently-during-covid-191698.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Marion Hersh, “Deafblind People, Communication, Independence, and Isolation,” Journal of Deaf Studies and Deaf Education 18, no. 4 (October 2013): 446–63.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Carla Garcia-Fernandez, “Intersectionality and Autoethnography: DeafBlind, DeafDisabled, Deaf and Hard of Hearing-Latinx Children Are the Future,” Disability Justice, Race and Education special issue 6, no. 1 (2020): 41–67.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Liz Crow, “Helen Keller: Rethinking the Problematic Icon,” Disability &amp; Society 15, no. 6 (2000): 845–59.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Kim Nielsen, Beyond the Miracle Worker: The Remarkable Life of Anne Sullivan Macy and Her Extraordinary Friendship with Helen Keller (Boston: Beacon Press, 2009).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See also Kim E. Nielsen, The Radical Lives of Helen Keller (New York: New York University Press, 2004); Kim E. Nielsen, Helen Keller: Selected Writings (New York: New York University Press, 2005).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Nielsen, Beyond the Miracle Worker, xiv.</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Allison C. Carey, “Parents and Professionals: Parents’ Reflections on Professionals, the Support System, and the Family in the Twentieth-Century United States,” in Disability Histories, ed. Susan Burch and Michael Rembis (Chicago: University of Illinois Press, 2014), 58.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Barney G. Glaser and Anselm L. Strauss, The Discovery of Grounded Theory: Strategies for Qualitative Research (New York: Aldine De Gruyter, 1999).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Marjorie DeVault, Liberating Method: Feminism and Social Research (Philadelphia: Temple University Press, 1999); Shulamit Reinharz, Feminist Methods in Social Research (New York: Oxford University Press, 1992).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National Association of the Deaf, “About Us,” NAD.org, 2023, https://www.nad .org/about-us/.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 National Association of the Deaf, “About Us: Priorities,” NAD.org, 2023, https:// </w:t>
      </w:r>
      <w:r>
        <w:rPr>
          <w:rFonts w:ascii="Helvetica" w:hAnsi="Helvetica" w:cs="Helvetica"/>
          <w:sz w:val="24"/>
          <w:sz-cs w:val="24"/>
          <w:u w:val="single"/>
          <w:color w:val="467886"/>
        </w:rPr>
        <w:t xml:space="preserve">www.nad.org/about-us/priorities/</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Andrew Solomon, Far from the Tree: Parents, Children and the Search for Identity (New York: Simon and Schuster, 2012).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43.</w:t>
        <w:tab/>
        <w:t xml:space="preserve">“National Federation of the Blind,” NFB.org, 2023, </w:t>
      </w:r>
      <w:r>
        <w:rPr>
          <w:rFonts w:ascii="Helvetica" w:hAnsi="Helvetica" w:cs="Helvetica"/>
          <w:sz w:val="24"/>
          <w:sz-cs w:val="24"/>
          <w:u w:val="single"/>
          <w:color w:val="467886"/>
        </w:rPr>
        <w:t xml:space="preserve">https://nfb.org/</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44.</w:t>
        <w:tab/>
        <w:t xml:space="preserve">Barbara Pierce, “No Such Thing as Blind Culture,” NFB.org, November 2008, https:// nfb.org/sites/default/files/images/nfb/publications/bm/bm08/bm0810/bm08 1007 .htm.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45.</w:t>
        <w:tab/>
        <w:t xml:space="preserve">“National Federation of the Blind,” NFB.org, 2023, </w:t>
      </w:r>
      <w:r>
        <w:rPr>
          <w:rFonts w:ascii="Helvetica" w:hAnsi="Helvetica" w:cs="Helvetica"/>
          <w:sz w:val="24"/>
          <w:sz-cs w:val="24"/>
          <w:u w:val="single"/>
          <w:color w:val="467886"/>
        </w:rPr>
        <w:t xml:space="preserve">https://nfb.org/</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46.</w:t>
        <w:tab/>
        <w:t xml:space="preserve">National Federation of the Blind, “Our Community,” NFB.org, 2023, https://nfb .org/our-community.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47.</w:t>
        <w:tab/>
        <w:t xml:space="preserve">Carey, Block, and Scotch, Allies and Obstacles.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48.</w:t>
        <w:tab/>
        <w:t xml:space="preserve">“American Association of the Deaf Blind,” aadb.org, n.d., accessed December 20, 2023, </w:t>
      </w:r>
      <w:r>
        <w:rPr>
          <w:rFonts w:ascii="Helvetica" w:hAnsi="Helvetica" w:cs="Helvetica"/>
          <w:sz w:val="24"/>
          <w:sz-cs w:val="24"/>
          <w:u w:val="single"/>
          <w:color w:val="467886"/>
        </w:rPr>
        <w:t xml:space="preserve">http://www.aadb.org/</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49.</w:t>
        <w:tab/>
        <w:t xml:space="preserve">DeafBlind Camp of Maryland, “Mission Statement,” deafblindcampofmd.org, 2022, </w:t>
      </w:r>
      <w:r>
        <w:rPr>
          <w:rFonts w:ascii="Helvetica" w:hAnsi="Helvetica" w:cs="Helvetica"/>
          <w:sz w:val="24"/>
          <w:sz-cs w:val="24"/>
          <w:u w:val="single"/>
          <w:color w:val="467886"/>
        </w:rPr>
        <w:t xml:space="preserve">https://www.deafblindcampofmd.org/mission-statement</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50.</w:t>
        <w:tab/>
        <w:t xml:space="preserve">American Association of the Deaf Blind, “About AADB,” aadb.org, n.d., accessed December 20, 2023, </w:t>
      </w:r>
      <w:r>
        <w:rPr>
          <w:rFonts w:ascii="Helvetica" w:hAnsi="Helvetica" w:cs="Helvetica"/>
          <w:sz w:val="24"/>
          <w:sz-cs w:val="24"/>
          <w:u w:val="single"/>
          <w:color w:val="467886"/>
        </w:rPr>
        <w:t xml:space="preserve">http://www.aadb.org/aadb/about_aadb.html</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51.</w:t>
        <w:tab/>
        <w:t xml:space="preserve">American Association of the Deaf Blind, “Frequently Asked Questions about Deaf-Blindness,” aadb.org, n.d., accessed December 20, 2023, http://www.aadb.org/FAQ /faq_DeafBlindness.html#resources.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52.</w:t>
        <w:tab/>
        <w:t xml:space="preserve">“Helen Keller National Center,” helenkeller.org, 2023, https://www.helenkeller.org /hknc/.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53.</w:t>
        <w:tab/>
        <w:t xml:space="preserve">Haben Girma, Haben: The Deafblind Woman Who Conquered Harvard Law (New York: Twelve, 2020), 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54.</w:t>
        <w:tab/>
        <w:t xml:space="preserve">Ibid., 67.</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55.</w:t>
        <w:tab/>
        <w:t xml:space="preserve">Ibid., 210.</w:t>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7: Aging Out of Children’s Hospitals: People with Complex Medical Conditions and Their Families in the Twentieth and Twenty-First Centuries </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Chapter References / Citations</w:t>
      </w:r>
    </w:p>
    <w:p>
      <w:pPr>
        <w:spacing w:after="160"/>
      </w:pP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w:t>
        <w:tab/>
        <w:t xml:space="preserve">Liat Ben-Moshe, Chris Chapman, and Allison C. Carey, Disability Incarcerated: Imprisonment and Disability in the United States and Canada (New York: Palgrave Macmillan, 2014); Lauren Berlant, “Slow Death (Sovereignty, Obesity and Lateral Agency),” Critical Inquiry 33, no. 4 (2007): 754–80; Pamela Block and Sini Diallo, “Activism, Anthropology, and Disability Studies in Times of Austerity,” Current Anthropology 61, no. S21 (2020), https://www.journals.uchicago.edu/doi/full/10.1086/705762; Jasbir K. Puar, “The ‘Right’ to Maim: Disablement and Inhumanist Biopolitics in Palestine,” Borderlands 14, no. 1 (2015): 1–27; Margrit Shildrick, “Living On: Not Getting Better,” Feminist Review 111 (2015): 10–24.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Judith Heumann, Being Heumann (Boston: Beacon Press, 2020).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“Joan Headley, Part 01 of 06: Gini Laurie and Rehabilitation Gazette,” It’s Our Story, July 21, 2010, https://www.youtube.com/watch?v=vDu1-vxlvvU; “Gini Laurie | Post Polio: Polio Place,” Polio Place, 2011, http://www.polioplace.org/people/gini-laurie; “About Gini Laurie: American Activist (1913−1989) Biography, Facts, Career, Wiki, Life,” People Pill, n.d., accessed December 20, 2023, </w:t>
      </w:r>
      <w:r>
        <w:rPr>
          <w:rFonts w:ascii="Helvetica" w:hAnsi="Helvetica" w:cs="Helvetica"/>
          <w:sz w:val="24"/>
          <w:sz-cs w:val="24"/>
          <w:u w:val="single"/>
          <w:color w:val="467886"/>
        </w:rPr>
        <w:t xml:space="preserve">https://peoplepill.com/people/gini-laurie</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4.</w:t>
        <w:tab/>
        <w:t xml:space="preserve">James Tobin, The Man He Became: How FDR Defied Polio to Win the Presidency (Boston: Simon &amp; Schuster, 2013).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“The Gazette | Post Polio: Polio Place,” Polio Place, 2011, http://www.polioplace.org /GINI.</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D. McGwinn, “The Article. Toomeyville Gazette,” 1955, Polio Place, accessed December 20, 2023, https://www.polioplace.org/sites/default/files/files/Toomeyville_Gazette _September_1955.pdf.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“Individuals with Disabilities Education Act (IDEA),” IDEA, U.S. Department of Education, n.d., accessed November 12, 2021, </w:t>
      </w:r>
      <w:r>
        <w:rPr>
          <w:rFonts w:ascii="Helvetica" w:hAnsi="Helvetica" w:cs="Helvetica"/>
          <w:sz w:val="24"/>
          <w:sz-cs w:val="24"/>
          <w:u w:val="single"/>
          <w:color w:val="467886"/>
        </w:rPr>
        <w:t xml:space="preserve">https://sites.ed.gov/idea/</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ADA, “An Overview of the Americans with Disabilities Act,” adata.org, 2017, https:// adata.org/factsheet/ADA-overview.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Susan Agrawal, “Home - Kids’ Waivers,” Kids’ Waivers, accessed December 20, 2023, https://www.kidswaivers.org/; Clay Risen, “Julie Beckett, Who Helped Disabled Children Live at Home, Dies at 72,” New York Times, May 25, 2022, https://www.nytimes.com /2022/05/25/us/julie-beckett-dead.html.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“Olmstead: Community Integration for Everyone,” ada.gov, n.d., accessed December 20, 2023, </w:t>
      </w:r>
      <w:r>
        <w:rPr>
          <w:rFonts w:ascii="Helvetica" w:hAnsi="Helvetica" w:cs="Helvetica"/>
          <w:sz w:val="24"/>
          <w:sz-cs w:val="24"/>
          <w:u w:val="single"/>
          <w:color w:val="467886"/>
        </w:rPr>
        <w:t xml:space="preserve">https://www.ada.gov/olmstead/index.html</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Kathy Martinez, “Independent Living in the U.S. &amp; Canada,” Independent Living Institute, 2003, </w:t>
      </w:r>
      <w:r>
        <w:rPr>
          <w:rFonts w:ascii="Helvetica" w:hAnsi="Helvetica" w:cs="Helvetica"/>
          <w:sz w:val="24"/>
          <w:sz-cs w:val="24"/>
          <w:u w:val="single"/>
          <w:color w:val="467886"/>
        </w:rPr>
        <w:t xml:space="preserve">https://www.independentliving.org/docs6/martinez2003.html</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Heumann, Being Heumann.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Ibid.; Fred Pelka, What We Have Done: An Oral History of the Disability Rights Movement (Amherst: University of Massachusetts Press, 2012).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Joan Headley, “Independent Living: The Role of Gini Laurie,” accessed December 2, 2024, https://post-polio.org/networking/advocacy/independent-living-the-role-of-gini -laurie/, </w:t>
      </w:r>
      <w:r>
        <w:rPr>
          <w:rFonts w:ascii="Helvetica" w:hAnsi="Helvetica" w:cs="Helvetica"/>
          <w:sz w:val="24"/>
          <w:sz-cs w:val="24"/>
          <w:u w:val="single"/>
          <w:color w:val="467886"/>
        </w:rPr>
        <w:t xml:space="preserve">https://www.independentliving.org/docs6/headley200103.html</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Allison C. Carey, Pamela Block, and Richard K. Scotch, Allies and Obstacles: Par ents of Children with Disabilities and Disability Rights (Philadelphia: Temple University Press, 2020).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Headley, “Independent Living.”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ADA, “An overview of the Americans with Disabilities Act,” adata.org, 2017, https:// adata.org/factsheet/ADA-overview.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Carey, Block, and Scotch, Allies and Obstacles.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Annual Disability Statistics Compendium, “2020 Annual Disability Statistics Compendium,” 2020, https://disabilitycompendium.org/compendium/2020-annual-disability -statistics-compendium.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Patricia Berne, Aurora Levins Morales, David Langstaff, and Sins Invalid, “2018 Ten Principles of Disability Justice,” WSQ: Women’s Studies Quarterly 46, no. 1 &amp; 2 (2018): 227–30.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Nick Dupree, “My World, My Experiences with Occupy Wall Street and How We Can Go Further,” in Occupying Disability: Critical Approaches to Community, Justice, and Decolonizing Disability, ed. Pamela Block, Devva Kasnitz, Akemi Nishida, and Nick Pol lard (New York: Springer, 2016): 225–33, https://link.springer.com/chapter/10.1007 /978 -94-017-9984-3_15.</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Pamela Block, Devva Kasnitz, Akemi Nishida, and Nick Pollard, Occupying Dis ability: Critical Approaches to Community, Justice, and Decolonizing Disability (New York: Springer, 2016), https://link.springer.com/book/10.1007/978-94-017-9984-3.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Joseph Shapiro, “A Medicaid Victory,” National Public Radio, 2003, https://www .npr.org/2003/02/12/974391/a-medicaid-victory.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“Nick Dupree,” Wynn Newhouse Awards, n.d., accessed November 12, 2021, https:// </w:t>
      </w:r>
      <w:r>
        <w:rPr>
          <w:rFonts w:ascii="Helvetica" w:hAnsi="Helvetica" w:cs="Helvetica"/>
          <w:sz w:val="24"/>
          <w:sz-cs w:val="24"/>
          <w:u w:val="single"/>
          <w:color w:val="467886"/>
        </w:rPr>
        <w:t xml:space="preserve">www.wnewhouseawards.com/nickdupree.html</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Block with Diallo, “Activism, Anthropology, and Disability Studies in Times of Austerity.”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Sarah Kim, “Carrie Ann Lucas Dies at Age 47. You Probably Haven’t Heard of Her and That’s a Problem,” Forbes, February 25, 2019, https://www.forbes.com/sites/sarah kim/2019/02/25/carrie-ann-lucas-dies/.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Alice Wong, Year of the Tiger (New York: Penguin Random House,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Block and Diallo, “Activism, Anthropology, and Disability Studies in Times of Austerity.”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Dupree, “My World, My Experiences with Occupy Wall Street.”</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“Home,” International Ventilator Users Network, ventnews.org, 2021, https:// www.ventnews.org/; “Home,” Post-Polio Health International, 2021, https://post-polio .org/.</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“Home,” Polio Place, polioplace.org, 2011, </w:t>
      </w:r>
      <w:r>
        <w:rPr>
          <w:rFonts w:ascii="Helvetica" w:hAnsi="Helvetica" w:cs="Helvetica"/>
          <w:sz w:val="24"/>
          <w:sz-cs w:val="24"/>
          <w:u w:val="single"/>
          <w:color w:val="467886"/>
        </w:rPr>
        <w:t xml:space="preserve">https://www.polioplace.org/</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Wong, Year of the Tiger, 58.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Pamela Block, E. Pereira, A. Mello, and D. Sakellariou, “Introduction to the Special Issue: Disability and Covid-19,” Disability Studies Quarterly 41, no. 3 (2021), https:// doi.org/10.18061/dsq.v41i3; Jordan Grunawalt, “The Villain Unmasked: COVID-19 and the Necropolitics of the Anti-mask Movement,” Disability Studies Quarterly 41, no. 3 (2021), https://doi.org/10.18061/dsq.v41i3.8343; Joana Milan Lorandi and Pamela Block, “Social and Health Experiences of Disabled People with Complex Medical Conditions during the COVID-19 Pandemic,” Research in Social Science and Disability 13 (2023): 113–34; Mia Mingus, “You Are Not Entitled to Our Deaths: COVID, Abled Supremacy &amp; Interdependence,” Leaving Evidence (blog), January 16, 2022, https://leavingevidence .wordpress.com/2022/01/16/you-are-not-entitled-to-our-deaths-covid-abled-supremacy -interdependence/.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Emily Mendenhall, Unmasked: COVID, Community, and the Case of Okoboji (Nashville: Vanderbilt University Press, 2023).</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Berne, Levins Morales, Langstaff, and Invalid, “2018 Ten Principles of Disability Justice”; Carey, Block, and Scotch, Allies and Obstacles; Leah Lakshmi Piepzna-Samarasinha, The Future Is Disabled (Vancouver: Arsenal Pulp Press, 2022); Leah Lakshmi Piepzna-Samarasinha, Care Work (Vancouver: Arsenal Pulp Press, 2018); Wong, Year of the Tiger.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Berne, Levins Morales, Langstaff, and Invalid, “2018 Ten Principles of Disability Justice”; Sins Invalid, “10 Principles of Disability Justice,” sinsinvalid.org (blog), 2015, </w:t>
      </w:r>
      <w:r>
        <w:rPr>
          <w:rFonts w:ascii="Helvetica" w:hAnsi="Helvetica" w:cs="Helvetica"/>
          <w:sz w:val="24"/>
          <w:sz-cs w:val="24"/>
          <w:u w:val="single"/>
          <w:color w:val="467886"/>
        </w:rPr>
        <w:t xml:space="preserve">https://www.sinsinvalid.org/blog/10-principles-of-disability-justice</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Mia Mingus, “Changing the Framework: Disability Justice. How Our Communities Can Move beyond Access to Wholeness,” Leaving Evidence (blog), February 12, 2011, https://leavingevidence.wordpress.com/2011/02/12/changing-the-framework-disability -justice/; Piepzna-Samarasinha, Care Work; Shayda Kafai, Crip Kinship (Vancouver: Ar senal Pulp Press, 2021).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Allison C. Carey, “Parents and Professionals: Parents’ Reflections on Profession als, the Support System, and the Family in the Twentieth-Century United States,” in Dis ability Histories, ed. Susan Burch and Michael Rembis (Champaign: University of Illinois Press, 2014), 58–76; Carey, Block, and Scotch, Allies and Obstacles; Eva F. Kittay, Love’s Labor: Essays on Women, Equality, and Dependency (New York: Routledge, 1999); Eva F. Kittay, Learning from My Daughter: The Value and Care of Disabled Minds (New York: Oxford University Press, 2019); Headley, “Independent Living.”</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43.</w:t>
        <w:tab/>
        <w:t xml:space="preserve">“Little Lobbyists,” Little Lobbyists Action Network, 2021, https://littlelobbyists .org/.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44.</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45.</w:t>
        <w:tab/>
        <w:t xml:space="preserve">Block, Kasnitz, Nishida, and Pollard, Occupying Disability</w:t>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8: Survive and Thrive: How Little Lobbyists Empowers Families to Fight for Disability Justice</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Image Descriptions</w:t>
      </w:r>
    </w:p>
    <w:p>
      <w:pPr>
        <w:spacing w:before="240" w:after="60"/>
      </w:pPr>
      <w:r>
        <w:rPr>
          <w:rFonts w:ascii="Helvetica" w:hAnsi="Helvetica" w:cs="Helvetica"/>
          <w:sz w:val="28"/>
          <w:sz-cs w:val="28"/>
          <w:b/>
          <w:i/>
        </w:rPr>
        <w:t xml:space="preserve">Figure 8.1</w:t>
      </w:r>
      <w:r>
        <w:rPr>
          <w:rFonts w:ascii="Times New Roman" w:hAnsi="Times New Roman" w:cs="Times New Roman"/>
          <w:sz w:val="28"/>
          <w:sz-cs w:val="28"/>
          <w:b/>
          <w:i/>
        </w:rPr>
        <w:t xml:space="preserve"/>
      </w:r>
    </w:p>
    <w:p>
      <w:pPr>
        <w:spacing w:after="160"/>
      </w:pPr>
      <w:r>
        <w:rPr>
          <w:rFonts w:ascii="Helvetica" w:hAnsi="Helvetica" w:cs="Helvetica"/>
          <w:sz w:val="24"/>
          <w:sz-cs w:val="24"/>
        </w:rPr>
        <w:t xml:space="preserve">Page # : 135</w:t>
      </w:r>
    </w:p>
    <w:p>
      <w:pPr>
        <w:spacing w:after="160"/>
      </w:pPr>
      <w:r>
        <w:rPr>
          <w:rFonts w:ascii="Helvetica" w:hAnsi="Helvetica" w:cs="Helvetica"/>
          <w:sz w:val="24"/>
          <w:sz-cs w:val="24"/>
        </w:rPr>
        <w:t xml:space="preserve">Alt text : LL logo in red, white and blue, with a child holding a star and a heart with an EKG line</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LL logo in red, white and blue, with a child holding a star and a heart with an EKG line. Text reads: Little Lobbyists, a family-led group advocating for children with complex medical needs and disabilities</w:t>
      </w:r>
    </w:p>
    <w:p>
      <w:pPr>
        <w:spacing w:before="240" w:after="60"/>
      </w:pPr>
      <w:r>
        <w:rPr>
          <w:rFonts w:ascii="Helvetica" w:hAnsi="Helvetica" w:cs="Helvetica"/>
          <w:sz w:val="28"/>
          <w:sz-cs w:val="28"/>
          <w:b/>
          <w:i/>
        </w:rPr>
        <w:t xml:space="preserve">Chapter References / Citations</w:t>
      </w:r>
    </w:p>
    <w:p>
      <w:pPr>
        <w:spacing w:after="160"/>
      </w:pP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w:t>
        <w:tab/>
        <w:t xml:space="preserve">“Our Advocacy Priorities,” Little Lobbyists, 2021, https://littlelobbyists.org/advocacy.</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The ACA’s individual mandate requires all persons to purchase health insurance or pay a fine. The employer mandate requires “employers with 50 or more full-time equivalent employees to provide health coverage to at least 95% of full-time employees and sets a minimum baseline of coverage and affordability” (Louise Norris, “Employer Man date,” HealthInsurance.org, 2024, https://www.healthinsurance.org/glossary/employer -mandate/). The ten essential health benefits are ambulatory patient services; emergency services; hospitalization; maternity and newborn care; mental health and substance use disorder services; prescription drugs; rehabilitative and habilitative services and devices; laboratory services; preventive and wellness services and chronic disease management; and pediatric services including oral and vision care (“10 Essential Health Benefits Insurance Plans Must Cover under the Affordable Care Act,” Insights Column, Families USA, February 9, 2018, https://familiesusa.org/resources/10-essential-health-benefits -insurance-plans-must-cover-under-the-affordable-care-act/).</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“About the Affordable Care Act,” Health Care Home, U.S. Department of Health and Human Services, last reviewed March 17, 2022, https://www.hhs.gov/healthcare /about-the-aca/index.html.</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“Timeline of ACA Repeal and Replace Efforts,” Ballotpedia: The Digital Encyclopedia of American Politics, n.d., accessed December 19, 2023, https://ballotpedia.org /Timeline_of_ACA_repeal_and_replace_efforts.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Sarah Kliff, “The Obamacare Provision That Saved Thousands from Bankruptcy,” Vox, March 2, 2017, https://www.vox.com/policy-and-politics/2017/2/15/14563182/obam acare-lifetime-limits-ban.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Meghan Holohan, “For These Moms, the Health Care Debate Is Personal,” Parents, Today, July 7, 2017, https://www.today.com/parents/health-care-debate-these-moms-it -s -personal-t113375.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The ACA’s individual mandate requires all persons to purchase health insurance or pay a fine. The employer mandate requires “employers with 50 or more full-time equivalent employees to provide health coverage to at least 95% of full-time employees and sets a minimum baseline of coverage and affordability” (Louise Norris, “Employer Man date,” HealthInsurance.org, 2024, https://www.healthinsurance.org/glossary/employer -mandate/). The ten essential health benefits are ambulatory patient services; emergency services; hospitalization; maternity and newborn care; mental health and substance use disorder services; prescription drugs; rehabilitative and habilitative services and devices; laboratory services; preventive and wellness services and chronic disease management; and pediatric services including oral and vision care (“10 Essential Health Benefits Insurance Plans Must Cover under the Affordable Care Act,” Families USA, September 2, 2018, https://familiesusa.org/resources/10-essential-health-benefits-insurance-plans-must -cover-under-the-affordable-care-act/).</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Because state waiting lists for Medicaid home services are so long and institutional care is so dangerous and of such poor quality, families of medically complex children in particular rely on private insurance plans. Pre-ACA, these plans were mostly obtained through employers. Pre-ACA, employers could block new employees with preexisting conditions (or family members with preexisting conditions) from receiving employer health benefits. As a result, the majority of families with disabled and medically complex children have become highly dependent on the ACA to retain health coverage altogether. Without such insurance, families would end up in medical bankruptcy.</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Elena Hung, interview by Roger A. Stone, February 23, 2022, video transcript, 11: 45:38 to 11:46:37.</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Sarah Kliff, “The Littlest Lobbyist: A 6-Year-Old, Whose Life Depends on ACA, Heads to Capitol Hill,” Vox, June 21, 2017, https://www.vox.com/policy-and-politics /2017 /6/21/15842780/senate-health-care-lifetime-limits.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Kliff, “The Obamacare Provision That Saved Thousands.”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Kliff, “The Littlest Lobbyist.”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Petula Dvorak, “Parents of Sick Kids Try to Remind Congress What the Health Care Debate Should Be About,” Local Perspective, Washington Post, June 22, 2017, https:// www.washingtonpost.com/local/parents-of-sick-kids-try-to-remind-congress-what -the-health-care-debate-should-be-about/2017/06/22/784231b2-574e-11e7-ba90-f5875 b7d 1876 _story.html.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Elena Hung interview, 13:34:51 to 13:35:23.</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15.</w:t>
        <w:tab/>
        <w:t xml:space="preserve">Heather Mason, “The Little Lobbyists Continue to Fight for Health Care Access,” Amy Poehler’s Smart Girls, Medium, July 19, 2017, https://amysmartgirls.com/the-little-lobbyists-continue-to-fight-for-health-care-access-c51fddbaf20c.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Little Lobbyists turned to so many individuals and organizations for support and advice that summer that it is difficult to name them all, and doing so risks leaving some one out. We are eternally grateful to all those who worked so hard to save the ACA and who helped Little Lobbyists along on its own journey.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17.</w:t>
        <w:tab/>
        <w:t xml:space="preserve">Charlotte Alter and Haley Sweetland Edwards, “The United Patients of America,” Time, July 13, 2017, https://time.com/4856231/the-united-patients-of-america/; Charlotte Alter, “How Women Helped Save Obamacare,” Time, July 29, 2017, https://time.com /4878 724/donald-trump-gop-health-care-women/.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Robert Pear, “‘Little Lobbyists’ Help Save the Health Care Law, for Now,” New York Times, September 30, 2017, https://www.nytimes.com/2017/09/30/us/politics/little-lobbyists-obamacare.html?_r=0.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Jamie Davis Smith, “My Daughter Doesn’t Have ‘Special’ Needs. She’s Disabled,” On Parenting, Washington Post, September 28, 2017, https://www.washingtonpost.com /news/parenting/wp/2017/09/28/my-daughter-doesnt-have-special-needs-shes-disabled/.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Michelle Morrison, interview by Roger A. Stone, March 24, 2022, video transcript, 20:01:26 to 20:02:09. 21.</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 Elena Hung interview, 11:40:27 to 11:41:03.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Eric March, “They’re Tiny. They Just Helped Save Obamacare. And They’re Not Done Yet,” Upworthy, July 28, 2017, https://www.upworthy.com/theyre-tiny-they-helped -save-obamacare-and-theyre-not-done-yet.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Elena Hung interview, 14:02:10 to 14:02:55.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Davis Smith, “My Daughter Doesn’t Have ‘Special’ Needs.”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In the United States, disabled children and adults are fighting for the civil right to live in their communities. Medicaid (a U.S. public health insurance program) offers HBCS waivers for disabled children and adults. What is “waived” is Medicaid entitlement to care in an institution—under the current Medicaid statute, home care is considered optional. Medicaid is a state-federal matching grant program, and states are free to de sign their own HCBS waivers, with varied rules, populations served, and waiting lists (which often number in the tens of thousands). HCBS waivers for medically complex and disabled children end between the ages of eighteen and twenty-one, with no guarantee of further home services. States typically have an HCBS waiver for developmentally disabled adults; however, these waivers are often designed to exclude disabled adults who have complex medical needs. Disabled adults without developmental disabilities find it difficult to obtain funding for home care at all. In addition to health care and home ser vices, disabled adults have a necessary focus on housing and employment, while disabled children and their families have a necessary focus on education.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Michelle Morrison interview, 20:04:29 to 20:04:44.</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Elena Hung interview, 11:53:57 to 11:55:24.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Michelle Morrison interview, 19:58:27 to 19:59:01.</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29.</w:t>
        <w:tab/>
        <w:t xml:space="preserve">Today, Little Lobbyists’ board and staff are diverse, and it is led by a disabled woman of color (Elena Hung identifies as a disabled person); however, our organization still relies on families with time and resources to volunteer long, unpaid hours. These families are skewed white and higher income. Promoting diversity, equity, and inclusion remains a challenge.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30.</w:t>
        <w:tab/>
        <w:t xml:space="preserve">While disabled adults are free to make their own decisions to risk their health and safety, parents of disabled children in the U.S. can be held legally responsible for such decisions by child protective services. Children can even be removed from the care of parents whose actions are deemed unsafe, whether or not the parent was following the wishes of the child to begin with.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31.</w:t>
        <w:tab/>
        <w:t xml:space="preserve">Laura LeBrun Hatcher, interview by Roger A. Stone, March 10, 2022, video transcript, 15:08:47 to 15:09:14.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32.</w:t>
        <w:tab/>
        <w:t xml:space="preserve">“Timeline of ACA Repeal and Replace Efforts.”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33.</w:t>
        <w:tab/>
        <w:t xml:space="preserve">Emma Roller, “At the Capitol with Those for Whom Last Night Mattered the Most,” Splinter, July 28, 2017, https://splinternews.com/last-night-mattered-for-them -17973 30480.</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34.</w:t>
        <w:tab/>
        <w:t xml:space="preserve">Perry Stein, “Liberal Groups Plan Saturday Protests around the County to Save Obamacare,” Local, Washington Post, July 28, 2017, https://www.washingtonpost.com/local/liberal-groups-plan-protests-around-the-country-saturday-to-save-obamacare /2017 /07/28/94daad12-739c-11e7-8839-ec48ec4cae25_story.html.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35.</w:t>
        <w:tab/>
        <w:t xml:space="preserve">Elena Hung interview, 13:45:20 to 13:46:27.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36.</w:t>
        <w:tab/>
        <w:t xml:space="preserve">“Speaker Nancy Pelosi (D-CA) Addresses House of Representatives—FULL SPEECH,” C-SPAN official YouTube channel, January 3, 2019, https://www.youtube.com /watch?v=dnH7O99d6S0; Gina Martinez, “Nancy Pelosi Just Outlined Her Agenda for the Most Diverse Congress Ever,” Time, January 3, 2019, https://time.com/5493191/pelosi -house-speaker-speech-transcript/.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37.</w:t>
        <w:tab/>
        <w:t xml:space="preserve">Robbie Jeanne, interview by Roger A. Stone, February 28, 2022, video transcript, 13:42:13 to 13:43:24.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38.</w:t>
        <w:tab/>
        <w:t xml:space="preserve">Noam N. Levy, “Patient Advocates, Healthcare Groups Sue Trump Administration to Preserve Insurance Protections,” Politics, Los Angeles Times, September 14, 2018, https://www.latimes.com/politics/la-na-pol-health-plans-lawsuit-20180914-story.html.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39.</w:t>
        <w:tab/>
        <w:t xml:space="preserve">Greg Stohr, “Supreme Court Rejects GOP Challenge to Affordable Care Act,” Bloomgberg (U.S. edition), June 17, 2021, https://www.bloomberg.com/news/articles /2021 -06-17/u-s-supreme-court-upholds-affordable-care-act.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40.</w:t>
        <w:tab/>
        <w:t xml:space="preserve"> “Little Lobbyists Files Brief in Defense of the Affordable Care Act in the Supreme Court,” Statements and Press Releases, News &amp; Media, Little Lobbyists, May 14, 2020,https://littlelobbyists.org/statements-and-press-releases/2020/5/14/little-lobbyists-files-amicus-brief-in-defense-of-the-affordable-care-act-in-the-supreme-court.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41.</w:t>
        <w:tab/>
        <w:t xml:space="preserve">Jeneva Stone and Laura LeBrun Hatcher, “Medicaid 101: Human Infrastructure &amp; Civil Rights,” Little Lobbyists (blog), August 26, 2021, https://littlelobbyists.org/blog /2021/8/26/medicaid-101-human-infrastructure-amp-civil-rightsnbsp-by-jeneva-stone -amp-laura-hatcher.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42.</w:t>
        <w:tab/>
        <w:t xml:space="preserve">“How American Families Benefit: Better Care Better Jobs Act, S.2210,” National Fact Sheet, United States Senate Special Committee on Aging, August 20, 2021, https:// </w:t>
      </w:r>
      <w:r>
        <w:rPr>
          <w:rFonts w:ascii="Helvetica" w:hAnsi="Helvetica" w:cs="Helvetica"/>
          <w:sz w:val="24"/>
          <w:sz-cs w:val="24"/>
          <w:u w:val="single"/>
          <w:color w:val="467886"/>
        </w:rPr>
        <w:t xml:space="preserve">www.aging.senate.gov/imo/media/doc/How%20American%20Families%20Benefit.pdf</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43.</w:t>
        <w:tab/>
        <w:t xml:space="preserve">“Little Lobbyists Statement Opposing Medicaid Block Grants,” Statements and Press Releases, News &amp; Media, Little Lobbyists, October 3, 2019, https://littlelobbyists.org/statements-and-press-releases/2019/10/3/little-lobbyists-statement-opposing-medicaid -block-grants.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44.</w:t>
        <w:tab/>
        <w:t xml:space="preserve">Kimberley Leonard, “Democrats Just Unveiled a $400 Billion Caregiving Bill That Would Supercharge Home Care and Boost Pay for Workers as 820,000 People Wait for Help,” Business Insider, June 24, 2021, https://www.businessinsider.com/biden-400-billion-plan-for-families-with-disabilities-infrastructure-talks-2021-6.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45.</w:t>
        <w:tab/>
        <w:t xml:space="preserve">“Little Lobbyists Need Home and Community Based Services Funding in a Co vid Relief Package,” Statements and Press Releases, News &amp; Media, Little Lobbyists, December 3, 2020, https://littlelobbyists.org/statements-and-press-releases/2020/12/3/little -lobbyists-need-home-and-community-based-services-funding-in-a-covid-relief-package.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46.</w:t>
        <w:tab/>
        <w:t xml:space="preserve">Anna North, “We Need to Talk about What School Closures Mean for Kids with Disabilities,” Vox, August 6, 2020, https://www.vox.com/2020/8/6/21353154/schools-reopening-covid-19-special-education-disabilities.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47.</w:t>
        <w:tab/>
        <w:t xml:space="preserve">Imani Barbarin, “I Started #MyDisabledLifeIsWorthy, Here’s Why the Response from Nondisabled People and Medical Professionals Should Alarm You,” Crutches &amp; Spice (blog), January 26, 2022, https://crutchesandspice.com/2022/01/26/%EF%BF%BCi-started -mydisabledlifeisworthy-heres-why-the-response-from-nondisabled-people-and-medical -professionals-should-alarm-you/.</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48.</w:t>
        <w:tab/>
        <w:t xml:space="preserve">“CDC Director Responds to Criticisms on COVID-19 Guidance,” video, GMA, January 10, 2022, https://www.goodmorningamerica.com/news/video/cdc-director-responds-criticisms-covid-19-guidance-82131389?fbclid=IwAR3gx_97-iZAqbdlJ2 QVQ 3 CkGJQx2MAomM4gwZCBZKvE2P-RiW8BE3dMtmA.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49.</w:t>
        <w:tab/>
        <w:t xml:space="preserve">“Disabled Lives Are Worth Saving,” Statements and Press Releases, News &amp; Me dia, Little Lobbyists, January 10, 2022, https://littlelobbyists.org/statements-and-press -releases/2022/1/10/disabled-lives-are-worth-saving.</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50.</w:t>
        <w:tab/>
        <w:t xml:space="preserve">Eric Garcia, “CDC Director Apologises in Meeting with Disability Rights Activists after Frustration with Policy Response,” Independent, January 15, 2022, https://www.independent.co.uk/news/world/americas/us-politics/cdc-disability-rights-covid-policy -b1993651.html.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51.</w:t>
        <w:tab/>
        <w:t xml:space="preserve">Blog Index, Little Lobbyists, n.d., </w:t>
      </w:r>
      <w:r>
        <w:rPr>
          <w:rFonts w:ascii="Helvetica" w:hAnsi="Helvetica" w:cs="Helvetica"/>
          <w:sz w:val="24"/>
          <w:sz-cs w:val="24"/>
          <w:u w:val="single"/>
          <w:color w:val="467886"/>
        </w:rPr>
        <w:t xml:space="preserve">https://littlelobbyists.org/posts</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52.</w:t>
        <w:tab/>
        <w:t xml:space="preserve">Statements &amp; Press Releases Index, Little Lobbyists, n.d., https://littlelobbyists.org /statements-and-press-releases.</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53.</w:t>
        <w:tab/>
        <w:t xml:space="preserve">News &amp; Media Articles Index, Little Lobbyists, n.d., </w:t>
      </w:r>
      <w:r>
        <w:rPr>
          <w:rFonts w:ascii="Helvetica" w:hAnsi="Helvetica" w:cs="Helvetica"/>
          <w:sz w:val="24"/>
          <w:sz-cs w:val="24"/>
          <w:u w:val="single"/>
          <w:color w:val="467886"/>
        </w:rPr>
        <w:t xml:space="preserve">https://littlelobbyists.org/news</w:t>
      </w:r>
      <w:r>
        <w:rPr>
          <w:rFonts w:ascii="Helvetica" w:hAnsi="Helvetica" w:cs="Helvetica"/>
          <w:sz w:val="24"/>
          <w:sz-cs w:val="24"/>
        </w:rPr>
        <w:t xml:space="preserve"> -media.</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54.</w:t>
        <w:tab/>
        <w:t xml:space="preserve">“Wexton Invites Loudon Woman to State of the Union to Highlight Healthcare,” Loudon Now, February 4, 2020, https://www.loudounnow.com/2020/02/04/wexton-invites-loudoun-woman-to-state-of-the-union-to-highlight-healthcare/; Zack Budryk, “Pelosi Invites Head of Disability Advocacy Group to State of the Union,” The Hill, February 4, 2020, https://thehill.com/homenews/house/481505-pelosi-invites-head-of-disability -advocacy-group-to-state-of-the-union/.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55.</w:t>
        <w:tab/>
        <w:t xml:space="preserve">Stone and LeBrun Hatcher, “Medicaid 101.”</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56.</w:t>
        <w:tab/>
        <w:t xml:space="preserve">Jeneva Stone, “Using Our Words: Being a Better Disability Ally,” Little Lobbyists (blog), April 29, 2021, https://littlelobbyists.org/blog/2021/4/29/hq7b4b077ge3xw5i0x4 wrootb1f0gh.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57.</w:t>
        <w:tab/>
        <w:t xml:space="preserve">From “the parable of the choir,” a meme used frequently in social justice circles without definitive attribution.</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32"/>
          <w:sz-cs w:val="32"/>
          <w:b/>
        </w:rPr>
        <w:t xml:space="preserve">Chapter 9: How to Do Limitless Lifelong Self-Determination</w:t>
      </w:r>
      <w:r>
        <w:rPr>
          <w:rFonts w:ascii="Times New Roman" w:hAnsi="Times New Roman" w:cs="Times New Roman"/>
          <w:sz w:val="32"/>
          <w:sz-cs w:val="32"/>
          <w:b/>
        </w:rPr>
        <w:t xml:space="preserve"/>
      </w:r>
    </w:p>
    <w:p>
      <w:pPr>
        <w:spacing w:before="240" w:after="60"/>
      </w:pPr>
      <w:r>
        <w:rPr>
          <w:rFonts w:ascii="Helvetica" w:hAnsi="Helvetica" w:cs="Helvetica"/>
          <w:sz w:val="28"/>
          <w:sz-cs w:val="28"/>
          <w:b/>
          <w:i/>
        </w:rPr>
        <w:t xml:space="preserve">Image Descriptions</w:t>
      </w:r>
    </w:p>
    <w:p>
      <w:pPr>
        <w:spacing w:before="240" w:after="60"/>
      </w:pPr>
      <w:r>
        <w:rPr>
          <w:rFonts w:ascii="Helvetica" w:hAnsi="Helvetica" w:cs="Helvetica"/>
          <w:sz w:val="26"/>
          <w:sz-cs w:val="26"/>
          <w:b/>
        </w:rPr>
        <w:t xml:space="preserve">Figure 9.1</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150</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3 boxes labelled Autonomy, Competence &amp; Relatedness. 2 stick figures (one in a wheelchair) on a box labelled Self-Determination</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Three boxes are lined up horizontally, each saying, “Autonomy,” “Competence,” and “Relatedness.” A stick figure character standing and another stick figure in a wheel chair rest on a text box that says “Self-Determination.</w:t>
      </w:r>
      <w:r>
        <w:rPr>
          <w:rFonts w:ascii="Times New Roman" w:hAnsi="Times New Roman" w:cs="Times New Roman"/>
          <w:sz w:val="24"/>
          <w:sz-cs w:val="24"/>
        </w:rPr>
        <w:t xml:space="preserve"/>
      </w:r>
    </w:p>
    <w:p>
      <w:pPr>
        <w:spacing w:before="240" w:after="60"/>
      </w:pPr>
      <w:r>
        <w:rPr>
          <w:rFonts w:ascii="Helvetica" w:hAnsi="Helvetica" w:cs="Helvetica"/>
          <w:sz w:val="26"/>
          <w:sz-cs w:val="26"/>
          <w:b/>
        </w:rPr>
        <w:t xml:space="preserve">Figure 9.2</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159</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A Pie Chart that shows that the 13% of students with disabilities endured 80% of the physical restraints in schools.</w:t>
      </w:r>
      <w:r>
        <w:rPr>
          <w:rFonts w:ascii="Times New Roman" w:hAnsi="Times New Roman" w:cs="Times New Roman"/>
          <w:sz w:val="24"/>
          <w:sz-cs w:val="24"/>
        </w:rPr>
        <w:t xml:space="preserve"/>
      </w:r>
    </w:p>
    <w:p>
      <w:pPr>
        <w:spacing w:before="240" w:after="60"/>
      </w:pPr>
      <w:r>
        <w:rPr>
          <w:rFonts w:ascii="Helvetica" w:hAnsi="Helvetica" w:cs="Helvetica"/>
          <w:sz w:val="26"/>
          <w:sz-cs w:val="26"/>
          <w:b/>
        </w:rPr>
        <w:t xml:space="preserve">Figure 9.3</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165</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examines how the level of restrictive guardianship is influenced by Student Self-Determination and influences on the parent</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This figure examines how the level of restrictive guardianship is influenced by Student Self-Determination and influences on the parent. Examples include the student’s acceptance of disability pride, exposure to trauma, and decision-making support. Examples of parent influences include attitude toward Dignity of Risk, child’s level of support needs, and attitudes encountered in the medical and school systems.  </w:t>
      </w:r>
      <w:r>
        <w:rPr>
          <w:rFonts w:ascii="Times New Roman" w:hAnsi="Times New Roman" w:cs="Times New Roman"/>
          <w:sz w:val="24"/>
          <w:sz-cs w:val="24"/>
        </w:rPr>
        <w:t xml:space="preserve"/>
      </w:r>
    </w:p>
    <w:p>
      <w:pPr>
        <w:spacing w:before="240" w:after="60"/>
      </w:pPr>
      <w:r>
        <w:rPr>
          <w:rFonts w:ascii="Helvetica" w:hAnsi="Helvetica" w:cs="Helvetica"/>
          <w:sz w:val="26"/>
          <w:sz-cs w:val="26"/>
          <w:b/>
        </w:rPr>
        <w:t xml:space="preserve">Table 9.1</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152</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This table lists ways that caregivers can help build self-determination in infants aged 0-3.  </w:t>
      </w:r>
    </w:p>
    <w:p>
      <w:pPr>
        <w:spacing w:after="160"/>
      </w:pPr>
      <w:r>
        <w:rPr>
          <w:rFonts w:ascii="Helvetica" w:hAnsi="Helvetica" w:cs="Helvetica"/>
          <w:sz w:val="24"/>
          <w:sz-cs w:val="24"/>
        </w:rPr>
        <w:t xml:space="preserve">Long description: This table lists ways that caregivers can help build self-determination in the areas of autonomy, competence and relatedness for infants aged 0-3. Examples include developing decision-making to build autonomy; recognizing competence in sleeping and eating; and building relatedness in caregivers, medical professionals, and therapists. Strategies include giving babies age-appropriate choices and respecting those choices and respecting all abilities in areas of key development like walking and talking. The author says, “Just because people can’t walk, doesn’t mean they can’t have movement—just like the Civil Rights Movement. Walking is limited, but Movement is limitless.”</w:t>
      </w:r>
      <w:r>
        <w:rPr>
          <w:rFonts w:ascii="Times New Roman" w:hAnsi="Times New Roman" w:cs="Times New Roman"/>
          <w:sz w:val="24"/>
          <w:sz-cs w:val="24"/>
        </w:rPr>
        <w:t xml:space="preserve"/>
      </w:r>
    </w:p>
    <w:p>
      <w:pPr>
        <w:spacing w:before="240" w:after="60"/>
      </w:pPr>
      <w:r>
        <w:rPr>
          <w:rFonts w:ascii="Helvetica" w:hAnsi="Helvetica" w:cs="Helvetica"/>
          <w:sz w:val="26"/>
          <w:sz-cs w:val="26"/>
          <w:b/>
        </w:rPr>
        <w:t xml:space="preserve">Table 9.2</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153</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This table lists ways that caregivers and educators can help build self-determination in elementary school students</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This table lists ways that caregivers and educators can help build self-determination in elementary school students. Examples include learning to speak up and speak out and developing disability pride for autonomy; working with students to understand how they learn best and using that information to teach other subjects like reading and writing for competence; and providing opportunities to work together, teaching cooperation not compliance, and creating peer to peer relationships so that friends are included for relatedness. Strategies include not limiting self-advocacy skills to just asking for help, instead recognizing that self-advocacy can change the world, and also using assistive tech to help students succeed.</w:t>
      </w:r>
      <w:r>
        <w:rPr>
          <w:rFonts w:ascii="Times New Roman" w:hAnsi="Times New Roman" w:cs="Times New Roman"/>
          <w:sz w:val="24"/>
          <w:sz-cs w:val="24"/>
        </w:rPr>
        <w:t xml:space="preserve"/>
      </w:r>
    </w:p>
    <w:p>
      <w:pPr>
        <w:spacing w:before="240" w:after="60"/>
      </w:pPr>
      <w:r>
        <w:rPr>
          <w:rFonts w:ascii="Helvetica" w:hAnsi="Helvetica" w:cs="Helvetica"/>
          <w:sz w:val="26"/>
          <w:sz-cs w:val="26"/>
          <w:b/>
        </w:rPr>
        <w:t xml:space="preserve">Table 9.3</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154</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This table lists ways that caregivers can help build self-determination in elementary school students.</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This table lists ways that caregivers and educators can help build self-determination in elementary school students. Examples include learning to speak up and speak out and developing disability pride for autonomy; working with students to understand how they learn best and using that information to teach other subjects like reading and writing for competence; and providing opportunities to work together, teaching cooperation not compliance, and creating peer to peer relationships so that friends are included for relatedness. Strategies include not limiting self-advocacy skills to just asking for help, instead recognizing that self-advocacy can change the world, and also using assistive tech to help students succeed.  </w:t>
      </w:r>
    </w:p>
    <w:p>
      <w:pPr>
        <w:spacing w:before="240" w:after="60"/>
      </w:pPr>
      <w:r>
        <w:rPr>
          <w:rFonts w:ascii="Helvetica" w:hAnsi="Helvetica" w:cs="Helvetica"/>
          <w:sz w:val="26"/>
          <w:sz-cs w:val="26"/>
          <w:b/>
        </w:rPr>
        <w:t xml:space="preserve">Table 9.4</w:t>
      </w:r>
      <w:r>
        <w:rPr>
          <w:rFonts w:ascii="Times New Roman" w:hAnsi="Times New Roman" w:cs="Times New Roman"/>
          <w:sz w:val="26"/>
          <w:sz-cs w:val="26"/>
          <w:b/>
        </w:rPr>
        <w:t xml:space="preserve"/>
      </w:r>
    </w:p>
    <w:p>
      <w:pPr>
        <w:spacing w:after="160"/>
      </w:pPr>
      <w:r>
        <w:rPr>
          <w:rFonts w:ascii="Helvetica" w:hAnsi="Helvetica" w:cs="Helvetica"/>
          <w:sz w:val="24"/>
          <w:sz-cs w:val="24"/>
        </w:rPr>
        <w:t xml:space="preserve">Page # : 158</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Alt text: This table lists the types of restraints, number of incidents, and incidents involving students with disabilities</w:t>
      </w:r>
      <w:r>
        <w:rPr>
          <w:rFonts w:ascii="Times New Roman" w:hAnsi="Times New Roman" w:cs="Times New Roman"/>
          <w:sz w:val="24"/>
          <w:sz-cs w:val="24"/>
        </w:rPr>
        <w:t xml:space="preserve"/>
      </w:r>
    </w:p>
    <w:p>
      <w:pPr>
        <w:spacing w:after="160"/>
      </w:pPr>
      <w:r>
        <w:rPr>
          <w:rFonts w:ascii="Helvetica" w:hAnsi="Helvetica" w:cs="Helvetica"/>
          <w:sz w:val="24"/>
          <w:sz-cs w:val="24"/>
        </w:rPr>
        <w:t xml:space="preserve">Long description: This table lists the types of restraints, number of incidents, and incidents involving students with disabilities. For example out of the 101,990  cases of seclusion and restraints, 79,676 were used on students with disabilities.  </w:t>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before="240" w:after="60"/>
      </w:pPr>
      <w:r>
        <w:rPr>
          <w:rFonts w:ascii="Helvetica" w:hAnsi="Helvetica" w:cs="Helvetica"/>
          <w:sz w:val="28"/>
          <w:sz-cs w:val="28"/>
          <w:b/>
          <w:i/>
        </w:rPr>
        <w:t xml:space="preserve">Chapter References / Citations</w:t>
      </w:r>
    </w:p>
    <w:p>
      <w:pPr>
        <w:ind w:left="720" w:first-line="-360"/>
        <w:spacing w:after="160"/>
      </w:pPr>
      <w:r>
        <w:rPr>
          <w:rFonts w:ascii="Helvetica" w:hAnsi="Helvetica" w:cs="Helvetica"/>
          <w:sz w:val="24"/>
          <w:sz-cs w:val="24"/>
        </w:rPr>
        <w:t xml:space="preserve">1.</w:t>
        <w:tab/>
        <w:t xml:space="preserve">Bengt Nirje, “The Normalization Principle and Its Human Management Implications: Classic Article from 1969,” SRV-VRS: The International Social Role Valorization Journal 1, no. 2 (1994): 19–23, https://bpb-us-e1.wpmucdn.com/blogs.uoregon.edu/dist /d /16656/files/2018/11/Nirje-The-Normalization-Principle-and-Its-Human-Management -Implications-2f3t9mm.pdf.</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w:t>
        <w:tab/>
        <w:t xml:space="preserve">Michael L. Wehmeyer, “The Importance of Self-Determination to the Quality of Life of People with Intellectual Disability: A Perspective,” International Journal of Environmental Research and Public Health 17, no. 19 (2020): 2, https://doi.org/10.3390/ijerph 17197121.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3.</w:t>
        <w:tab/>
        <w:t xml:space="preserve">Alex Gorz, email interview by the authors, June 9, 2022.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4.</w:t>
        <w:tab/>
        <w:t xml:space="preserve">Angie Gorz, email interview by the authors, June 9,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5.</w:t>
        <w:tab/>
        <w:t xml:space="preserve">Bryce Giron, video-conference interview by the authors, June 24,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6.</w:t>
        <w:tab/>
        <w:t xml:space="preserve">Ryan M. Richard and Deci L. Edward, “Self-Determination Theory and the Facilitation of Intrinsic Motivation, Social Development, and Well-Being,” American Psychologist 55, no. 1 (January 2000): 68.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7.</w:t>
        <w:tab/>
        <w:t xml:space="preserve">Susan Hoekstra, interview by the authors, October 29, 2022.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8.</w:t>
        <w:tab/>
        <w:t xml:space="preserve">Judy Heumann, interview by the authors, September 23, 2021.</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9.</w:t>
        <w:tab/>
        <w:t xml:space="preserve">Cindy Bickman, interview by the authors, October 23,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10.</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11.</w:t>
        <w:tab/>
        <w:t xml:space="preserve">Laurie Jerue, email interview by the authors, June 15,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12.</w:t>
        <w:tab/>
        <w:t xml:space="preserve">Martina Corsi, Alessandro Orsini, Virginia Pedrinelli, Andrea Santangelo, Carlo Antonio Bertelloni, Niccolò Carli, Rodolfo Buselli, Diego Peroni, Pasquale Striano, Lili ana Dell’Osso, and Claudia Carmassi, “PTSD in Parents of Children with Severe Diseases: A Systematic Review to Face Covid-19 Impact,” Italian Journal of Pediatrics 47, no. 8 (2021), </w:t>
      </w:r>
      <w:r>
        <w:rPr>
          <w:rFonts w:ascii="Helvetica" w:hAnsi="Helvetica" w:cs="Helvetica"/>
          <w:sz w:val="24"/>
          <w:sz-cs w:val="24"/>
          <w:u w:val="single"/>
          <w:color w:val="467886"/>
        </w:rPr>
        <w:t xml:space="preserve">https://doi.org/10.1186/s13052-021-00957-1</w:t>
      </w:r>
      <w:r>
        <w:rPr>
          <w:rFonts w:ascii="Helvetica" w:hAnsi="Helvetica" w:cs="Helvetica"/>
          <w:sz w:val="24"/>
          <w:sz-cs w:val="24"/>
        </w:rPr>
        <w:t xml:space="preserve">.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13.</w:t>
        <w:tab/>
        <w:t xml:space="preserve">Michelle Stewart, Alexandra Schnabel, David J. Hallford, Jane A. McGillivray, David Forbes, Madeline Foster, Kerrie Shandley, Madeleine Gardam, and David W. Aus tin, “Challenging Child Behaviours Positively Predict Symptoms of Posttraumatic Stress Disorder in Parents of Children with Autism Spectrum Disorder and Rare Diseases,” Research in Autism Spectrum Disorders 69 (2020), https://doi.org/10.1016/j.rasd .2019 .101467.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14.</w:t>
        <w:tab/>
        <w:t xml:space="preserve">Christina G. Macdonnell, Theresa Andrezejewski, and Janey Dike, “Intergenerational Trauma: Parental PTSD and Parent-Reported Child Abuse Subtypes Differentially Relate to Admission Characteristics in the Autism Inpatient Collection,” Autism Research 15, no. 4 (2022): 665–76, </w:t>
      </w:r>
      <w:r>
        <w:rPr>
          <w:rFonts w:ascii="Helvetica" w:hAnsi="Helvetica" w:cs="Helvetica"/>
          <w:sz w:val="24"/>
          <w:sz-cs w:val="24"/>
          <w:u w:val="single"/>
          <w:color w:val="467886"/>
        </w:rPr>
        <w:t xml:space="preserve">https://doi.org/10.1002/aur.2669</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15.</w:t>
        <w:tab/>
        <w:t xml:space="preserve">Stella Young, “I’m Not Your Inspiration, Thank You Very Much,” TED Talk, June 9, 2014, https://www.ted.com/talks/stella_young_i_m_not_your_inspiration_thank_you_very_much.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16.</w:t>
        <w:tab/>
        <w:t xml:space="preserve">Roberta S. Rehm, Lucille T. Fisher, Elena Fuentes-Afflick, and Catherine A. Chesla, “Parental Advocacy Styles for Special Education Students during the Transition to Adult hood,” Qualitative Health Research 23, no. 10 (2013): 1377–87, </w:t>
      </w:r>
      <w:r>
        <w:rPr>
          <w:rFonts w:ascii="Helvetica" w:hAnsi="Helvetica" w:cs="Helvetica"/>
          <w:sz w:val="24"/>
          <w:sz-cs w:val="24"/>
          <w:u w:val="single"/>
          <w:color w:val="467886"/>
        </w:rPr>
        <w:t xml:space="preserve">https://doi.org/10 .1177 /10 49732313505915</w:t>
      </w:r>
      <w:r>
        <w:rPr>
          <w:rFonts w:ascii="Times New Roman" w:hAnsi="Times New Roman" w:cs="Times New Roman"/>
          <w:sz w:val="24"/>
          <w:sz-cs w:val="24"/>
        </w:rPr>
        <w:t xml:space="preserve">.</w:t>
      </w:r>
    </w:p>
    <w:p>
      <w:pPr>
        <w:ind w:left="720" w:first-line="-360"/>
        <w:spacing w:after="160"/>
      </w:pPr>
      <w:r>
        <w:rPr>
          <w:rFonts w:ascii="Helvetica" w:hAnsi="Helvetica" w:cs="Helvetica"/>
          <w:sz w:val="24"/>
          <w:sz-cs w:val="24"/>
        </w:rPr>
        <w:t xml:space="preserve">17.</w:t>
        <w:tab/>
        <w:t xml:space="preserve"> Dennis McGuire, Brian A. Chicoine, and Elaine Greenbaum, “‘Self-Talk’ in Adults with Down Syndrome,” Children’s Hospital of Philadelphia, March 1, 2013, https://www .chop.edu/news/self-talk-adults-down-syndrome.</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18.</w:t>
        <w:tab/>
        <w:t xml:space="preserve">“Transition Report by SODC,” Illinois Department of Human Services, 2023, https://www.dhs.state.il.us/page.aspx?item=82095.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19.</w:t>
        <w:tab/>
        <w:t xml:space="preserve">Emily S. Tanis, Amie Lulinski, Joy Wu, David L. Braddock, and Richard Hemp, The State of the States in Intellectual and Developmental Disabilities: 2019, 12th ed. (Lawrence, Kansas: University of Kansas, in preparation).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20.</w:t>
        <w:tab/>
        <w:t xml:space="preserve">Department of Education and the Office for Civil Rights, “2017–18: The Use of Restraint and Seclusion on Children with Disabilities in K-12 Schools,” Civil Rights Data Collection, October 2020, https://www2.ed.gov/about/offices/list/ocr/docs/restraint-and -seclusion.pdf.</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21.</w:t>
        <w:tab/>
        <w:t xml:space="preserve">Ibid.</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22.</w:t>
        <w:tab/>
        <w:t xml:space="preserve">Guy Stephens, video interview by the authors, June 22,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23.</w:t>
        <w:tab/>
        <w:t xml:space="preserve">Tricia Giron, video interview by the authors, June 24,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24.</w:t>
        <w:tab/>
        <w:t xml:space="preserve">Michael L. Wehmeyer, “Self-Determination and the Third Generation of Inclusive Practices,” Revista de Educacion 349, no. 3 (May−August 2009): 45, https://www.educacionyfp.gob.es/revista-de-educacion/dam/jcr:cdb14e14-b97e-436c-a4f6-acb21b01a027 /re34903ing-pdf.pdf.</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25.</w:t>
        <w:tab/>
        <w:t xml:space="preserve">Ibid.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26.</w:t>
        <w:tab/>
        <w:t xml:space="preserve">Mitchell Robins, email interview by the authors, June 16, 2022.</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27.</w:t>
        <w:tab/>
        <w:t xml:space="preserve">Susan Robins, email interview by the authors, June 16, 2022. </w:t>
      </w:r>
      <w:r>
        <w:rPr>
          <w:rFonts w:ascii="Times New Roman" w:hAnsi="Times New Roman" w:cs="Times New Roman"/>
          <w:sz w:val="24"/>
          <w:sz-cs w:val="24"/>
        </w:rPr>
        <w:t xml:space="preserve"/>
      </w:r>
    </w:p>
    <w:p>
      <w:pPr>
        <w:ind w:left="720" w:first-line="-360"/>
        <w:spacing w:after="160"/>
      </w:pPr>
      <w:r>
        <w:rPr>
          <w:rFonts w:ascii="Helvetica" w:hAnsi="Helvetica" w:cs="Helvetica"/>
          <w:sz w:val="24"/>
          <w:sz-cs w:val="24"/>
        </w:rPr>
        <w:t xml:space="preserve">28.</w:t>
        <w:tab/>
        <w:t xml:space="preserve">Cindy Montgomery, email interview by the authors, July 2022</w:t>
      </w: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p>
      <w:pPr>
        <w:spacing w:after="160"/>
      </w:pPr>
      <w:r>
        <w:rPr>
          <w:rFonts w:ascii="Times New Roman" w:hAnsi="Times New Roman" w:cs="Times New Roman"/>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Dina Dwairi</cp:lastModifiedBy>
  <dcterms:created>2025-12-09T05:46:00Z</dcterms:created>
  <dcterms:modified>2025-12-09T05:46:00Z</dcterms:modified>
</cp:coreProperties>
</file>

<file path=docProps/meta.xml><?xml version="1.0" encoding="utf-8"?>
<meta xmlns="http://schemas.apple.com/cocoa/2006/metadata">
  <generator>CocoaOOXMLWriter/2299.7</generator>
</meta>
</file>